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42" w:rsidRPr="001D194A" w:rsidRDefault="00221B5F" w:rsidP="007B6A42">
      <w:pPr>
        <w:pStyle w:val="NoSpacing"/>
        <w:rPr>
          <w:b/>
          <w:sz w:val="22"/>
          <w:szCs w:val="22"/>
          <w:lang w:val="fr-CA"/>
        </w:rPr>
      </w:pPr>
      <w:r>
        <w:rPr>
          <w:noProof/>
          <w:lang w:val="fr-CA" w:eastAsia="fr-CA"/>
        </w:rPr>
        <w:drawing>
          <wp:inline distT="0" distB="0" distL="0" distR="0" wp14:anchorId="73036A55" wp14:editId="65133B7C">
            <wp:extent cx="899991" cy="638175"/>
            <wp:effectExtent l="0" t="0" r="0" b="0"/>
            <wp:docPr id="2" name="Picture 2" descr="cid:image005.png@01D42F2F.96535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image005.png@01D42F2F.965358C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991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  <w:lang w:val="fr-CA"/>
        </w:rPr>
        <w:t xml:space="preserve">   </w:t>
      </w:r>
      <w:proofErr w:type="spellStart"/>
      <w:r w:rsidR="008F7383" w:rsidRPr="001D194A">
        <w:rPr>
          <w:b/>
          <w:sz w:val="22"/>
          <w:szCs w:val="22"/>
          <w:lang w:val="fr-CA"/>
        </w:rPr>
        <w:t>Cartologie</w:t>
      </w:r>
      <w:proofErr w:type="spellEnd"/>
      <w:r w:rsidR="008F7383" w:rsidRPr="001D194A">
        <w:rPr>
          <w:b/>
          <w:sz w:val="22"/>
          <w:szCs w:val="22"/>
          <w:lang w:val="fr-CA"/>
        </w:rPr>
        <w:t xml:space="preserve"> du consentement </w:t>
      </w:r>
      <w:r w:rsidR="007B6A42" w:rsidRPr="001D194A">
        <w:rPr>
          <w:b/>
          <w:sz w:val="22"/>
          <w:szCs w:val="22"/>
          <w:lang w:val="fr-CA"/>
        </w:rPr>
        <w:t xml:space="preserve">(surtout </w:t>
      </w:r>
      <w:r w:rsidR="008F7383" w:rsidRPr="001D194A">
        <w:rPr>
          <w:b/>
          <w:sz w:val="22"/>
          <w:szCs w:val="22"/>
          <w:lang w:val="fr-CA"/>
        </w:rPr>
        <w:t>à l’admission</w:t>
      </w:r>
      <w:r w:rsidR="007B6A42" w:rsidRPr="001D194A">
        <w:rPr>
          <w:b/>
          <w:sz w:val="22"/>
          <w:szCs w:val="22"/>
          <w:lang w:val="fr-CA"/>
        </w:rPr>
        <w:t>) et la protection de la vie privée</w:t>
      </w:r>
      <w:r w:rsidR="00564F6A">
        <w:rPr>
          <w:b/>
          <w:sz w:val="22"/>
          <w:szCs w:val="22"/>
          <w:lang w:val="fr-CA"/>
        </w:rPr>
        <w:t xml:space="preserve"> </w:t>
      </w:r>
    </w:p>
    <w:p w:rsidR="007B6A42" w:rsidRDefault="007B6A42" w:rsidP="007B6A42">
      <w:pPr>
        <w:pStyle w:val="NoSpacing"/>
        <w:rPr>
          <w:rFonts w:cs="Times New Roman"/>
          <w:w w:val="105"/>
          <w:sz w:val="22"/>
          <w:szCs w:val="22"/>
          <w:lang w:val="fr-CA"/>
        </w:rPr>
      </w:pPr>
    </w:p>
    <w:p w:rsidR="00221B5F" w:rsidRDefault="00221B5F" w:rsidP="007B6A42">
      <w:pPr>
        <w:pStyle w:val="NoSpacing"/>
        <w:rPr>
          <w:rFonts w:cs="Times New Roman"/>
          <w:w w:val="105"/>
          <w:sz w:val="22"/>
          <w:szCs w:val="22"/>
          <w:lang w:val="fr-CA"/>
        </w:rPr>
      </w:pPr>
    </w:p>
    <w:p w:rsidR="00221B5F" w:rsidRPr="001D194A" w:rsidRDefault="00221B5F" w:rsidP="007B6A42">
      <w:pPr>
        <w:pStyle w:val="NoSpacing"/>
        <w:rPr>
          <w:rFonts w:cs="Times New Roman"/>
          <w:w w:val="105"/>
          <w:sz w:val="22"/>
          <w:szCs w:val="22"/>
          <w:lang w:val="fr-CA"/>
        </w:rPr>
      </w:pPr>
    </w:p>
    <w:p w:rsidR="007B6A42" w:rsidRPr="001D194A" w:rsidRDefault="007B6A42" w:rsidP="007B6A42">
      <w:pPr>
        <w:pStyle w:val="NoSpacing"/>
        <w:rPr>
          <w:rFonts w:cs="Times New Roman"/>
          <w:w w:val="105"/>
          <w:sz w:val="22"/>
          <w:szCs w:val="22"/>
          <w:lang w:val="fr-CA"/>
        </w:rPr>
      </w:pPr>
      <w:r w:rsidRPr="001D194A">
        <w:rPr>
          <w:rFonts w:cs="Times New Roman"/>
          <w:w w:val="105"/>
          <w:sz w:val="22"/>
          <w:szCs w:val="22"/>
          <w:lang w:val="fr-CA"/>
        </w:rPr>
        <w:t xml:space="preserve">Les activités de protection de la vie privée qui sont incluses dans les politiques et procédures sur la protection de la confidentialité et la vie privée comprennent : </w:t>
      </w:r>
    </w:p>
    <w:p w:rsidR="007B6A42" w:rsidRPr="001D194A" w:rsidRDefault="007B6A42" w:rsidP="007B6A42">
      <w:pPr>
        <w:pStyle w:val="NoSpacing"/>
        <w:numPr>
          <w:ilvl w:val="0"/>
          <w:numId w:val="3"/>
        </w:numPr>
        <w:rPr>
          <w:rFonts w:cs="Times New Roman"/>
          <w:w w:val="105"/>
          <w:sz w:val="22"/>
          <w:szCs w:val="22"/>
          <w:lang w:val="fr-CA"/>
        </w:rPr>
      </w:pPr>
      <w:r w:rsidRPr="001D194A">
        <w:rPr>
          <w:rFonts w:cs="Times New Roman"/>
          <w:w w:val="105"/>
          <w:sz w:val="22"/>
          <w:szCs w:val="22"/>
          <w:lang w:val="fr-CA"/>
        </w:rPr>
        <w:t>la gestion du consentement (inclut la prise de décisions par autrui)</w:t>
      </w:r>
    </w:p>
    <w:p w:rsidR="007B6A42" w:rsidRPr="001D194A" w:rsidRDefault="007B6A42" w:rsidP="007B6A42">
      <w:pPr>
        <w:pStyle w:val="NoSpacing"/>
        <w:numPr>
          <w:ilvl w:val="0"/>
          <w:numId w:val="3"/>
        </w:numPr>
        <w:rPr>
          <w:rFonts w:cs="Times New Roman"/>
          <w:w w:val="105"/>
          <w:sz w:val="22"/>
          <w:szCs w:val="22"/>
          <w:lang w:val="fr-CA"/>
        </w:rPr>
      </w:pPr>
      <w:r w:rsidRPr="001D194A">
        <w:rPr>
          <w:rFonts w:cs="Times New Roman"/>
          <w:w w:val="105"/>
          <w:sz w:val="22"/>
          <w:szCs w:val="22"/>
          <w:lang w:val="fr-CA"/>
        </w:rPr>
        <w:t>la gestion des incidents</w:t>
      </w:r>
    </w:p>
    <w:p w:rsidR="007B6A42" w:rsidRPr="001D194A" w:rsidRDefault="007B6A42" w:rsidP="007B6A42">
      <w:pPr>
        <w:pStyle w:val="NoSpacing"/>
        <w:numPr>
          <w:ilvl w:val="0"/>
          <w:numId w:val="3"/>
        </w:numPr>
        <w:rPr>
          <w:rFonts w:cs="Times New Roman"/>
          <w:w w:val="105"/>
          <w:sz w:val="22"/>
          <w:szCs w:val="22"/>
          <w:lang w:val="fr-CA"/>
        </w:rPr>
      </w:pPr>
      <w:r w:rsidRPr="001D194A">
        <w:rPr>
          <w:rFonts w:cs="Times New Roman"/>
          <w:w w:val="105"/>
          <w:sz w:val="22"/>
          <w:szCs w:val="22"/>
          <w:lang w:val="fr-CA"/>
        </w:rPr>
        <w:t>le soutien des droits du client en matière de protection de la vie privée</w:t>
      </w:r>
    </w:p>
    <w:p w:rsidR="007B6A42" w:rsidRPr="001D194A" w:rsidRDefault="007B6A42" w:rsidP="007B6A42">
      <w:pPr>
        <w:pStyle w:val="NoSpacing"/>
        <w:numPr>
          <w:ilvl w:val="0"/>
          <w:numId w:val="3"/>
        </w:numPr>
        <w:rPr>
          <w:rFonts w:cs="Times New Roman"/>
          <w:w w:val="105"/>
          <w:sz w:val="22"/>
          <w:szCs w:val="22"/>
          <w:lang w:val="fr-CA"/>
        </w:rPr>
      </w:pPr>
      <w:r w:rsidRPr="001D194A">
        <w:rPr>
          <w:rFonts w:cs="Times New Roman"/>
          <w:w w:val="105"/>
          <w:sz w:val="22"/>
          <w:szCs w:val="22"/>
          <w:lang w:val="fr-CA"/>
        </w:rPr>
        <w:t>le soutien des droits de l’employé en matière de protection de la vie privée</w:t>
      </w:r>
    </w:p>
    <w:p w:rsidR="007B6A42" w:rsidRPr="001D194A" w:rsidRDefault="007B6A42" w:rsidP="007B6A42">
      <w:pPr>
        <w:pStyle w:val="NoSpacing"/>
        <w:numPr>
          <w:ilvl w:val="0"/>
          <w:numId w:val="3"/>
        </w:numPr>
        <w:rPr>
          <w:rFonts w:cs="Times New Roman"/>
          <w:w w:val="105"/>
          <w:sz w:val="22"/>
          <w:szCs w:val="22"/>
          <w:lang w:val="fr-CA"/>
        </w:rPr>
      </w:pPr>
      <w:r w:rsidRPr="001D194A">
        <w:rPr>
          <w:rFonts w:cs="Times New Roman"/>
          <w:w w:val="105"/>
          <w:sz w:val="22"/>
          <w:szCs w:val="22"/>
          <w:lang w:val="fr-CA"/>
        </w:rPr>
        <w:t>la sensibilisation et la formation du personnel</w:t>
      </w:r>
    </w:p>
    <w:p w:rsidR="007B6A42" w:rsidRPr="001D194A" w:rsidRDefault="007B6A42" w:rsidP="007B6A42">
      <w:pPr>
        <w:pStyle w:val="NoSpacing"/>
        <w:numPr>
          <w:ilvl w:val="0"/>
          <w:numId w:val="3"/>
        </w:numPr>
        <w:rPr>
          <w:rFonts w:cs="Times New Roman"/>
          <w:w w:val="105"/>
          <w:sz w:val="22"/>
          <w:szCs w:val="22"/>
          <w:lang w:val="fr-CA"/>
        </w:rPr>
      </w:pPr>
      <w:r w:rsidRPr="001D194A">
        <w:rPr>
          <w:rFonts w:cs="Times New Roman"/>
          <w:w w:val="105"/>
          <w:sz w:val="22"/>
          <w:szCs w:val="22"/>
          <w:lang w:val="fr-CA"/>
        </w:rPr>
        <w:t>le stockage et sécurisation des données</w:t>
      </w:r>
    </w:p>
    <w:p w:rsidR="007B6A42" w:rsidRPr="001D194A" w:rsidRDefault="007B6A42" w:rsidP="007B6A42">
      <w:pPr>
        <w:pStyle w:val="NoSpacing"/>
        <w:rPr>
          <w:rFonts w:cs="Times New Roman"/>
          <w:w w:val="105"/>
          <w:sz w:val="22"/>
          <w:szCs w:val="22"/>
          <w:lang w:val="fr-CA"/>
        </w:rPr>
      </w:pPr>
    </w:p>
    <w:p w:rsidR="00C51C16" w:rsidRPr="001D194A" w:rsidRDefault="007B6A42" w:rsidP="007B6A42">
      <w:pPr>
        <w:pStyle w:val="NoSpacing"/>
        <w:rPr>
          <w:w w:val="105"/>
          <w:sz w:val="22"/>
          <w:szCs w:val="22"/>
          <w:lang w:val="fr-CA"/>
        </w:rPr>
      </w:pPr>
      <w:r w:rsidRPr="001D194A">
        <w:rPr>
          <w:w w:val="105"/>
          <w:sz w:val="22"/>
          <w:szCs w:val="22"/>
          <w:lang w:val="fr-CA"/>
        </w:rPr>
        <w:t>L'accès aux renseignements personnels sur la santé des clients dépend du besoin de savoir afin d’accomplir les tâches professionnelles. L’équipe noté sur le Plan de soins du client a accès automatiquement.</w:t>
      </w:r>
    </w:p>
    <w:p w:rsidR="00C51C16" w:rsidRPr="001D194A" w:rsidRDefault="00C51C16" w:rsidP="007B6A42">
      <w:pPr>
        <w:pStyle w:val="NoSpacing"/>
        <w:rPr>
          <w:w w:val="105"/>
          <w:sz w:val="22"/>
          <w:szCs w:val="22"/>
          <w:lang w:val="fr-CA"/>
        </w:rPr>
      </w:pPr>
    </w:p>
    <w:p w:rsidR="00BE469F" w:rsidRDefault="00BE469F" w:rsidP="001D194A">
      <w:pPr>
        <w:pStyle w:val="NoSpacing"/>
        <w:numPr>
          <w:ilvl w:val="0"/>
          <w:numId w:val="4"/>
        </w:numPr>
        <w:rPr>
          <w:w w:val="105"/>
          <w:sz w:val="22"/>
          <w:szCs w:val="22"/>
          <w:lang w:val="fr-CA"/>
        </w:rPr>
      </w:pPr>
      <w:r>
        <w:rPr>
          <w:w w:val="105"/>
          <w:sz w:val="22"/>
          <w:szCs w:val="22"/>
          <w:lang w:val="fr-CA"/>
        </w:rPr>
        <w:t>Tous membres du personnel signent un Entente de non-divulgation à l’embauche</w:t>
      </w:r>
    </w:p>
    <w:p w:rsidR="00BE469F" w:rsidRDefault="00BE469F" w:rsidP="002E76AE">
      <w:pPr>
        <w:pStyle w:val="NoSpacing"/>
        <w:ind w:left="720" w:firstLine="720"/>
        <w:rPr>
          <w:w w:val="105"/>
          <w:sz w:val="22"/>
          <w:szCs w:val="22"/>
          <w:lang w:val="fr-CA"/>
        </w:rPr>
      </w:pPr>
      <w:r>
        <w:rPr>
          <w:w w:val="105"/>
          <w:sz w:val="22"/>
          <w:szCs w:val="22"/>
          <w:lang w:val="fr-CA"/>
        </w:rPr>
        <w:t>Entente de non-divulgation – Annexe 1 SEC-006</w:t>
      </w:r>
    </w:p>
    <w:p w:rsidR="00BE469F" w:rsidRDefault="00BE469F" w:rsidP="00BE469F">
      <w:pPr>
        <w:pStyle w:val="NoSpacing"/>
        <w:ind w:left="720"/>
        <w:rPr>
          <w:w w:val="105"/>
          <w:sz w:val="22"/>
          <w:szCs w:val="22"/>
          <w:lang w:val="fr-CA"/>
        </w:rPr>
      </w:pPr>
    </w:p>
    <w:p w:rsidR="00221B5F" w:rsidRPr="00221B5F" w:rsidRDefault="001D194A" w:rsidP="007B6A42">
      <w:pPr>
        <w:pStyle w:val="NoSpacing"/>
        <w:numPr>
          <w:ilvl w:val="0"/>
          <w:numId w:val="4"/>
        </w:numPr>
        <w:rPr>
          <w:w w:val="105"/>
          <w:sz w:val="22"/>
          <w:szCs w:val="22"/>
          <w:lang w:val="fr-CA"/>
        </w:rPr>
      </w:pPr>
      <w:r w:rsidRPr="001D194A">
        <w:rPr>
          <w:w w:val="105"/>
          <w:sz w:val="22"/>
          <w:szCs w:val="22"/>
          <w:lang w:val="fr-CA"/>
        </w:rPr>
        <w:t xml:space="preserve">Le gestionnaire de cas offre au client au plutôt que possible : </w:t>
      </w:r>
    </w:p>
    <w:p w:rsidR="00C51C16" w:rsidRPr="002E76AE" w:rsidRDefault="00C51C16" w:rsidP="002E76AE">
      <w:pPr>
        <w:ind w:left="1146" w:firstLine="294"/>
        <w:rPr>
          <w:rFonts w:ascii="Corbel" w:eastAsiaTheme="minorHAnsi" w:hAnsi="Corbel" w:cs="Calibri"/>
          <w:w w:val="105"/>
          <w:lang w:val="fr-CA" w:eastAsia="en-US"/>
        </w:rPr>
      </w:pPr>
      <w:r w:rsidRPr="002E76AE">
        <w:rPr>
          <w:rFonts w:ascii="Corbel" w:eastAsiaTheme="minorHAnsi" w:hAnsi="Corbel" w:cs="Calibri"/>
          <w:w w:val="105"/>
          <w:lang w:val="fr-CA" w:eastAsia="en-US"/>
        </w:rPr>
        <w:t xml:space="preserve">Feuille info du Commissaire-Annexe </w:t>
      </w:r>
      <w:r w:rsidR="002E76AE" w:rsidRPr="002E76AE">
        <w:rPr>
          <w:rFonts w:ascii="Corbel" w:eastAsiaTheme="minorHAnsi" w:hAnsi="Corbel" w:cs="Calibri"/>
          <w:w w:val="105"/>
          <w:lang w:val="fr-CA" w:eastAsia="en-US"/>
        </w:rPr>
        <w:t xml:space="preserve">2 </w:t>
      </w:r>
      <w:r w:rsidRPr="002E76AE">
        <w:rPr>
          <w:rFonts w:ascii="Corbel" w:eastAsiaTheme="minorHAnsi" w:hAnsi="Corbel" w:cs="Calibri"/>
          <w:w w:val="105"/>
          <w:lang w:val="fr-CA" w:eastAsia="en-US"/>
        </w:rPr>
        <w:t>SEC-00</w:t>
      </w:r>
      <w:r w:rsidR="002E76AE" w:rsidRPr="002E76AE">
        <w:rPr>
          <w:rFonts w:ascii="Corbel" w:eastAsiaTheme="minorHAnsi" w:hAnsi="Corbel" w:cs="Calibri"/>
          <w:w w:val="105"/>
          <w:lang w:val="fr-CA" w:eastAsia="en-US"/>
        </w:rPr>
        <w:t>6</w:t>
      </w:r>
    </w:p>
    <w:p w:rsidR="002E76AE" w:rsidRPr="00221B5F" w:rsidRDefault="001D194A" w:rsidP="002E76AE">
      <w:pPr>
        <w:pStyle w:val="NoSpacing"/>
        <w:numPr>
          <w:ilvl w:val="0"/>
          <w:numId w:val="4"/>
        </w:numPr>
        <w:rPr>
          <w:w w:val="105"/>
          <w:sz w:val="22"/>
          <w:szCs w:val="22"/>
          <w:lang w:val="fr-CA"/>
        </w:rPr>
      </w:pPr>
      <w:r w:rsidRPr="002E76AE">
        <w:rPr>
          <w:w w:val="105"/>
          <w:sz w:val="22"/>
          <w:szCs w:val="22"/>
          <w:lang w:val="fr-CA"/>
        </w:rPr>
        <w:t>Le gestionnaire de cas remplit le formulaire d’admission et obtient le consentement implicite de la collecte, l’utilisation et la divulgation des renseignements personnels et renseignements personnels sur la santé du client.</w:t>
      </w:r>
    </w:p>
    <w:p w:rsidR="00C51C16" w:rsidRPr="002E76AE" w:rsidRDefault="00C51C16" w:rsidP="002E76AE">
      <w:pPr>
        <w:pStyle w:val="NoSpacing"/>
        <w:ind w:left="720" w:firstLine="720"/>
        <w:rPr>
          <w:w w:val="105"/>
          <w:sz w:val="22"/>
          <w:szCs w:val="22"/>
          <w:lang w:val="fr-CA"/>
        </w:rPr>
      </w:pPr>
      <w:r w:rsidRPr="002E76AE">
        <w:rPr>
          <w:w w:val="105"/>
          <w:sz w:val="22"/>
          <w:szCs w:val="22"/>
          <w:lang w:val="fr-CA"/>
        </w:rPr>
        <w:t xml:space="preserve">Formulaire d’admission-Annexe </w:t>
      </w:r>
      <w:r w:rsidR="002E76AE" w:rsidRPr="002E76AE">
        <w:rPr>
          <w:w w:val="105"/>
          <w:sz w:val="22"/>
          <w:szCs w:val="22"/>
          <w:lang w:val="fr-CA"/>
        </w:rPr>
        <w:t>3 SEC-006</w:t>
      </w:r>
    </w:p>
    <w:p w:rsidR="002E76AE" w:rsidRDefault="002E76AE" w:rsidP="002E76AE">
      <w:pPr>
        <w:pStyle w:val="NoSpacing"/>
        <w:rPr>
          <w:w w:val="105"/>
          <w:sz w:val="22"/>
          <w:szCs w:val="22"/>
          <w:lang w:val="fr-CA"/>
        </w:rPr>
      </w:pPr>
    </w:p>
    <w:p w:rsidR="002E76AE" w:rsidRPr="00221B5F" w:rsidRDefault="002E76AE" w:rsidP="002E76AE">
      <w:pPr>
        <w:pStyle w:val="NoSpacing"/>
        <w:numPr>
          <w:ilvl w:val="0"/>
          <w:numId w:val="4"/>
        </w:numPr>
        <w:rPr>
          <w:w w:val="105"/>
          <w:sz w:val="22"/>
          <w:szCs w:val="22"/>
          <w:lang w:val="fr-CA"/>
        </w:rPr>
      </w:pPr>
      <w:r w:rsidRPr="002E76AE">
        <w:rPr>
          <w:w w:val="105"/>
          <w:sz w:val="22"/>
          <w:szCs w:val="22"/>
          <w:lang w:val="fr-CA"/>
        </w:rPr>
        <w:t>Le gestionnaire de cas fait signé (consentement explicite) par le client la feuille indiquant les personnes à qui le personnel puisse divulguer les informations. La feuille est intitulé</w:t>
      </w:r>
      <w:r>
        <w:rPr>
          <w:w w:val="105"/>
          <w:sz w:val="22"/>
          <w:szCs w:val="22"/>
          <w:lang w:val="fr-CA"/>
        </w:rPr>
        <w:t>e</w:t>
      </w:r>
      <w:r w:rsidRPr="002E76AE">
        <w:rPr>
          <w:w w:val="105"/>
          <w:sz w:val="22"/>
          <w:szCs w:val="22"/>
          <w:lang w:val="fr-CA"/>
        </w:rPr>
        <w:t> : Directive de consentement pour le partage des données</w:t>
      </w:r>
      <w:r>
        <w:rPr>
          <w:w w:val="105"/>
          <w:sz w:val="22"/>
          <w:szCs w:val="22"/>
          <w:lang w:val="fr-CA"/>
        </w:rPr>
        <w:t xml:space="preserve"> </w:t>
      </w:r>
      <w:r w:rsidRPr="002E76AE">
        <w:rPr>
          <w:w w:val="105"/>
          <w:sz w:val="22"/>
          <w:szCs w:val="22"/>
          <w:lang w:val="fr-CA"/>
        </w:rPr>
        <w:t>avec vos contacts d’urgence</w:t>
      </w:r>
    </w:p>
    <w:p w:rsidR="002E76AE" w:rsidRDefault="002E76AE" w:rsidP="002E76AE">
      <w:pPr>
        <w:pStyle w:val="NoSpacing"/>
        <w:ind w:left="720" w:firstLine="720"/>
        <w:rPr>
          <w:w w:val="105"/>
          <w:sz w:val="22"/>
          <w:szCs w:val="22"/>
          <w:lang w:val="fr-CA"/>
        </w:rPr>
      </w:pPr>
      <w:r w:rsidRPr="002E76AE">
        <w:rPr>
          <w:w w:val="105"/>
          <w:sz w:val="22"/>
          <w:szCs w:val="22"/>
          <w:lang w:val="fr-CA"/>
        </w:rPr>
        <w:t>Directive de consentement (Contacts) Annexe</w:t>
      </w:r>
      <w:r w:rsidR="00624CFC">
        <w:rPr>
          <w:w w:val="105"/>
          <w:sz w:val="22"/>
          <w:szCs w:val="22"/>
          <w:lang w:val="fr-CA"/>
        </w:rPr>
        <w:t xml:space="preserve"> 4 </w:t>
      </w:r>
      <w:r>
        <w:rPr>
          <w:w w:val="105"/>
          <w:sz w:val="22"/>
          <w:szCs w:val="22"/>
          <w:lang w:val="fr-CA"/>
        </w:rPr>
        <w:t>SEC-006</w:t>
      </w:r>
    </w:p>
    <w:p w:rsidR="00624CFC" w:rsidRDefault="00624CFC" w:rsidP="002E76AE">
      <w:pPr>
        <w:pStyle w:val="NoSpacing"/>
        <w:ind w:left="720" w:firstLine="720"/>
        <w:rPr>
          <w:w w:val="105"/>
          <w:sz w:val="22"/>
          <w:szCs w:val="22"/>
          <w:lang w:val="fr-CA"/>
        </w:rPr>
      </w:pPr>
    </w:p>
    <w:p w:rsidR="00624CFC" w:rsidRPr="00221B5F" w:rsidRDefault="00624CFC" w:rsidP="00624CFC">
      <w:pPr>
        <w:pStyle w:val="BodyText"/>
        <w:numPr>
          <w:ilvl w:val="0"/>
          <w:numId w:val="4"/>
        </w:numPr>
        <w:spacing w:line="250" w:lineRule="auto"/>
        <w:ind w:right="111"/>
        <w:rPr>
          <w:rFonts w:ascii="Corbel" w:hAnsi="Corbel" w:cs="Times New Roman"/>
          <w:w w:val="105"/>
          <w:sz w:val="24"/>
          <w:szCs w:val="24"/>
          <w:lang w:val="fr-CA"/>
        </w:rPr>
      </w:pPr>
      <w:r>
        <w:rPr>
          <w:rFonts w:ascii="Corbel" w:hAnsi="Corbel" w:cs="Times New Roman"/>
          <w:w w:val="105"/>
          <w:sz w:val="24"/>
          <w:szCs w:val="24"/>
          <w:lang w:val="fr-CA"/>
        </w:rPr>
        <w:t xml:space="preserve">L’envoi et donc partage des résultats du CHA du client requière un consentement explicite. </w:t>
      </w:r>
      <w:r w:rsidRPr="00AB0CE2">
        <w:rPr>
          <w:rFonts w:ascii="Corbel" w:hAnsi="Corbel" w:cs="Times New Roman"/>
          <w:w w:val="105"/>
          <w:sz w:val="24"/>
          <w:szCs w:val="24"/>
          <w:lang w:val="fr-CA"/>
        </w:rPr>
        <w:t xml:space="preserve">Avant de </w:t>
      </w:r>
      <w:r>
        <w:rPr>
          <w:rFonts w:ascii="Corbel" w:hAnsi="Corbel" w:cs="Times New Roman"/>
          <w:w w:val="105"/>
          <w:sz w:val="24"/>
          <w:szCs w:val="24"/>
          <w:lang w:val="fr-CA"/>
        </w:rPr>
        <w:t xml:space="preserve">demander au </w:t>
      </w:r>
      <w:r w:rsidRPr="00AB0CE2">
        <w:rPr>
          <w:rFonts w:ascii="Corbel" w:hAnsi="Corbel" w:cs="Times New Roman"/>
          <w:w w:val="105"/>
          <w:sz w:val="24"/>
          <w:szCs w:val="24"/>
          <w:lang w:val="fr-CA"/>
        </w:rPr>
        <w:t xml:space="preserve">client </w:t>
      </w:r>
      <w:r>
        <w:rPr>
          <w:rFonts w:ascii="Corbel" w:hAnsi="Corbel" w:cs="Times New Roman"/>
          <w:w w:val="105"/>
          <w:sz w:val="24"/>
          <w:szCs w:val="24"/>
          <w:lang w:val="fr-CA"/>
        </w:rPr>
        <w:t xml:space="preserve">de donner son consentement explicite, le gestionnaire de cas fournit au client un dépliant </w:t>
      </w:r>
      <w:r w:rsidRPr="00AB0CE2">
        <w:rPr>
          <w:rFonts w:ascii="Corbel" w:hAnsi="Corbel" w:cs="Times New Roman"/>
          <w:w w:val="105"/>
          <w:sz w:val="24"/>
          <w:szCs w:val="24"/>
          <w:lang w:val="fr-CA"/>
        </w:rPr>
        <w:t xml:space="preserve">expliquant le </w:t>
      </w:r>
      <w:r w:rsidRPr="002242C3">
        <w:rPr>
          <w:rFonts w:ascii="Corbel" w:hAnsi="Corbel" w:cs="Times New Roman"/>
          <w:w w:val="105"/>
          <w:sz w:val="24"/>
          <w:szCs w:val="24"/>
          <w:lang w:val="fr-CA"/>
        </w:rPr>
        <w:t>DÉI</w:t>
      </w:r>
      <w:r>
        <w:rPr>
          <w:rFonts w:ascii="Corbel" w:hAnsi="Corbel" w:cs="Times New Roman"/>
          <w:w w:val="105"/>
          <w:sz w:val="24"/>
          <w:szCs w:val="24"/>
          <w:lang w:val="fr-CA"/>
        </w:rPr>
        <w:t>/IAR</w:t>
      </w:r>
      <w:r w:rsidRPr="00AB0CE2">
        <w:rPr>
          <w:rFonts w:ascii="Corbel" w:hAnsi="Corbel" w:cs="Times New Roman"/>
          <w:w w:val="105"/>
          <w:sz w:val="24"/>
          <w:szCs w:val="24"/>
          <w:lang w:val="fr-CA"/>
        </w:rPr>
        <w:t xml:space="preserve"> et ses droits de protection de la vie privée (« </w:t>
      </w:r>
      <w:r>
        <w:rPr>
          <w:rFonts w:ascii="Corbel" w:hAnsi="Corbel" w:cs="Times New Roman"/>
          <w:w w:val="105"/>
          <w:sz w:val="24"/>
          <w:szCs w:val="24"/>
          <w:lang w:val="fr-CA"/>
        </w:rPr>
        <w:t>Dépliant sur</w:t>
      </w:r>
      <w:r w:rsidRPr="00AB0CE2">
        <w:rPr>
          <w:rFonts w:ascii="Corbel" w:hAnsi="Corbel" w:cs="Times New Roman"/>
          <w:w w:val="105"/>
          <w:sz w:val="24"/>
          <w:szCs w:val="24"/>
          <w:lang w:val="fr-CA"/>
        </w:rPr>
        <w:t xml:space="preserve"> La protection de la vie privée et votre évaluation »</w:t>
      </w:r>
      <w:r w:rsidRPr="00AB0CE2">
        <w:rPr>
          <w:rFonts w:ascii="Corbel" w:hAnsi="Corbel" w:cs="Times New Roman"/>
          <w:w w:val="105"/>
          <w:sz w:val="24"/>
          <w:szCs w:val="24"/>
          <w:lang w:val="fr-CA"/>
        </w:rPr>
        <w:tab/>
        <w:t xml:space="preserve"> </w:t>
      </w:r>
    </w:p>
    <w:p w:rsidR="00624CFC" w:rsidRDefault="00624CFC" w:rsidP="002E76AE">
      <w:pPr>
        <w:pStyle w:val="NoSpacing"/>
        <w:ind w:left="720" w:firstLine="720"/>
        <w:rPr>
          <w:w w:val="105"/>
          <w:sz w:val="22"/>
          <w:szCs w:val="22"/>
          <w:lang w:val="fr-CA"/>
        </w:rPr>
      </w:pPr>
      <w:r>
        <w:rPr>
          <w:w w:val="105"/>
          <w:sz w:val="22"/>
          <w:szCs w:val="22"/>
          <w:lang w:val="fr-CA"/>
        </w:rPr>
        <w:t>Dépliant sur la Protection de la vie privée et votre évaluation – Annexe 5 SEC-006</w:t>
      </w:r>
    </w:p>
    <w:p w:rsidR="00624CFC" w:rsidRPr="002E76AE" w:rsidRDefault="00624CFC" w:rsidP="002E76AE">
      <w:pPr>
        <w:pStyle w:val="NoSpacing"/>
        <w:ind w:left="720" w:firstLine="720"/>
        <w:rPr>
          <w:w w:val="105"/>
          <w:sz w:val="22"/>
          <w:szCs w:val="22"/>
          <w:lang w:val="fr-CA"/>
        </w:rPr>
      </w:pPr>
    </w:p>
    <w:p w:rsidR="00C374F7" w:rsidRPr="00221B5F" w:rsidRDefault="00C374F7" w:rsidP="00221B5F">
      <w:pPr>
        <w:pStyle w:val="BodyText"/>
        <w:numPr>
          <w:ilvl w:val="0"/>
          <w:numId w:val="4"/>
        </w:numPr>
        <w:spacing w:before="6"/>
        <w:rPr>
          <w:rFonts w:ascii="Corbel" w:eastAsiaTheme="minorHAnsi" w:hAnsi="Corbel" w:cs="Calibri"/>
          <w:w w:val="105"/>
          <w:sz w:val="22"/>
          <w:szCs w:val="22"/>
          <w:lang w:val="fr-CA" w:eastAsia="en-US"/>
        </w:rPr>
      </w:pPr>
      <w:r>
        <w:rPr>
          <w:rFonts w:ascii="Corbel" w:eastAsiaTheme="minorHAnsi" w:hAnsi="Corbel" w:cs="Calibri"/>
          <w:w w:val="105"/>
          <w:sz w:val="22"/>
          <w:szCs w:val="22"/>
          <w:lang w:val="fr-CA" w:eastAsia="en-US"/>
        </w:rPr>
        <w:t>Par la suite, le client coche et signe la</w:t>
      </w:r>
      <w:r w:rsidR="00624CFC" w:rsidRPr="00C374F7">
        <w:rPr>
          <w:rFonts w:ascii="Corbel" w:eastAsiaTheme="minorHAnsi" w:hAnsi="Corbel" w:cs="Calibri"/>
          <w:w w:val="105"/>
          <w:sz w:val="22"/>
          <w:szCs w:val="22"/>
          <w:lang w:val="fr-CA" w:eastAsia="en-US"/>
        </w:rPr>
        <w:t xml:space="preserve"> « </w:t>
      </w:r>
      <w:r>
        <w:rPr>
          <w:rFonts w:ascii="Corbel" w:eastAsiaTheme="minorHAnsi" w:hAnsi="Corbel" w:cs="Calibri"/>
          <w:w w:val="105"/>
          <w:sz w:val="22"/>
          <w:szCs w:val="22"/>
          <w:lang w:val="fr-CA" w:eastAsia="en-US"/>
        </w:rPr>
        <w:t>Directive de consentement IAR »</w:t>
      </w:r>
    </w:p>
    <w:p w:rsidR="00C374F7" w:rsidRDefault="00C374F7" w:rsidP="00C374F7">
      <w:pPr>
        <w:pStyle w:val="BodyText"/>
        <w:spacing w:before="6"/>
        <w:ind w:left="1418" w:firstLine="0"/>
        <w:rPr>
          <w:rFonts w:ascii="Corbel" w:eastAsiaTheme="minorHAnsi" w:hAnsi="Corbel" w:cs="Calibri"/>
          <w:w w:val="105"/>
          <w:sz w:val="22"/>
          <w:szCs w:val="22"/>
          <w:lang w:val="fr-CA" w:eastAsia="en-US"/>
        </w:rPr>
      </w:pPr>
      <w:r w:rsidRPr="00C374F7">
        <w:rPr>
          <w:rFonts w:ascii="Corbel" w:eastAsiaTheme="minorHAnsi" w:hAnsi="Corbel" w:cs="Calibri"/>
          <w:w w:val="105"/>
          <w:sz w:val="22"/>
          <w:szCs w:val="22"/>
          <w:lang w:val="fr-CA" w:eastAsia="en-US"/>
        </w:rPr>
        <w:t>Directive de consentement pour le partage des données</w:t>
      </w:r>
      <w:r>
        <w:rPr>
          <w:rFonts w:ascii="Corbel" w:eastAsiaTheme="minorHAnsi" w:hAnsi="Corbel" w:cs="Calibri"/>
          <w:w w:val="105"/>
          <w:sz w:val="22"/>
          <w:szCs w:val="22"/>
          <w:lang w:val="fr-CA" w:eastAsia="en-US"/>
        </w:rPr>
        <w:t xml:space="preserve"> de l’évaluation InterRAI</w:t>
      </w:r>
      <w:r w:rsidRPr="00C374F7">
        <w:rPr>
          <w:rFonts w:ascii="Corbel" w:eastAsiaTheme="minorHAnsi" w:hAnsi="Corbel" w:cs="Calibri"/>
          <w:w w:val="105"/>
          <w:sz w:val="22"/>
          <w:szCs w:val="22"/>
          <w:lang w:val="fr-CA" w:eastAsia="en-US"/>
        </w:rPr>
        <w:t xml:space="preserve"> CHA et </w:t>
      </w:r>
      <w:r w:rsidR="005F018F" w:rsidRPr="002242C3">
        <w:rPr>
          <w:rFonts w:ascii="Corbel" w:hAnsi="Corbel" w:cs="Times New Roman"/>
          <w:w w:val="105"/>
          <w:sz w:val="24"/>
          <w:szCs w:val="24"/>
          <w:lang w:val="fr-CA"/>
        </w:rPr>
        <w:t>DÉI</w:t>
      </w:r>
      <w:r w:rsidR="005F018F">
        <w:rPr>
          <w:rFonts w:ascii="Corbel" w:hAnsi="Corbel" w:cs="Times New Roman"/>
          <w:w w:val="105"/>
          <w:sz w:val="24"/>
          <w:szCs w:val="24"/>
          <w:lang w:val="fr-CA"/>
        </w:rPr>
        <w:t>/IAR</w:t>
      </w:r>
      <w:r>
        <w:rPr>
          <w:rFonts w:ascii="Corbel" w:eastAsiaTheme="minorHAnsi" w:hAnsi="Corbel" w:cs="Calibri"/>
          <w:w w:val="105"/>
          <w:sz w:val="22"/>
          <w:szCs w:val="22"/>
          <w:lang w:val="fr-CA" w:eastAsia="en-US"/>
        </w:rPr>
        <w:t xml:space="preserve"> – Annexe 6 SEC-006</w:t>
      </w:r>
    </w:p>
    <w:p w:rsidR="00D726B7" w:rsidRDefault="00D726B7" w:rsidP="00C374F7">
      <w:pPr>
        <w:pStyle w:val="BodyText"/>
        <w:spacing w:before="6"/>
        <w:ind w:left="1418" w:firstLine="0"/>
        <w:rPr>
          <w:rFonts w:ascii="Corbel" w:eastAsiaTheme="minorHAnsi" w:hAnsi="Corbel" w:cs="Calibri"/>
          <w:w w:val="105"/>
          <w:sz w:val="22"/>
          <w:szCs w:val="22"/>
          <w:lang w:val="fr-CA" w:eastAsia="en-US"/>
        </w:rPr>
      </w:pPr>
    </w:p>
    <w:p w:rsidR="00335999" w:rsidRPr="00221B5F" w:rsidRDefault="00D726B7" w:rsidP="00335999">
      <w:pPr>
        <w:pStyle w:val="BodyText"/>
        <w:numPr>
          <w:ilvl w:val="0"/>
          <w:numId w:val="4"/>
        </w:numPr>
        <w:spacing w:before="6"/>
        <w:rPr>
          <w:rFonts w:ascii="Corbel" w:eastAsiaTheme="minorHAnsi" w:hAnsi="Corbel" w:cs="Calibri"/>
          <w:bCs/>
          <w:w w:val="105"/>
          <w:sz w:val="22"/>
          <w:szCs w:val="22"/>
          <w:lang w:val="fr-CA" w:eastAsia="en-US"/>
        </w:rPr>
      </w:pPr>
      <w:r w:rsidRPr="00D726B7">
        <w:rPr>
          <w:rFonts w:ascii="Corbel" w:eastAsiaTheme="minorHAnsi" w:hAnsi="Corbel" w:cs="Calibri"/>
          <w:bCs/>
          <w:w w:val="105"/>
          <w:sz w:val="22"/>
          <w:szCs w:val="22"/>
          <w:lang w:val="fr-CA" w:eastAsia="en-US"/>
        </w:rPr>
        <w:t xml:space="preserve">Avant </w:t>
      </w:r>
      <w:r w:rsidR="00335999">
        <w:rPr>
          <w:rFonts w:ascii="Corbel" w:eastAsiaTheme="minorHAnsi" w:hAnsi="Corbel" w:cs="Calibri"/>
          <w:bCs/>
          <w:w w:val="105"/>
          <w:sz w:val="22"/>
          <w:szCs w:val="22"/>
          <w:lang w:val="fr-CA" w:eastAsia="en-US"/>
        </w:rPr>
        <w:t>de commencer les services, le client signe l’Entente de service de CAH</w:t>
      </w:r>
    </w:p>
    <w:p w:rsidR="00335999" w:rsidRDefault="00335999" w:rsidP="00335999">
      <w:pPr>
        <w:pStyle w:val="BodyText"/>
        <w:spacing w:before="6"/>
        <w:ind w:left="1800"/>
        <w:rPr>
          <w:rFonts w:ascii="Corbel" w:eastAsiaTheme="minorHAnsi" w:hAnsi="Corbel" w:cs="Calibri"/>
          <w:bCs/>
          <w:w w:val="105"/>
          <w:sz w:val="22"/>
          <w:szCs w:val="22"/>
          <w:lang w:val="fr-CA" w:eastAsia="en-US"/>
        </w:rPr>
      </w:pPr>
      <w:r>
        <w:rPr>
          <w:rFonts w:ascii="Corbel" w:eastAsiaTheme="minorHAnsi" w:hAnsi="Corbel" w:cs="Calibri"/>
          <w:bCs/>
          <w:w w:val="105"/>
          <w:sz w:val="22"/>
          <w:szCs w:val="22"/>
          <w:lang w:val="fr-CA" w:eastAsia="en-US"/>
        </w:rPr>
        <w:t>Entente de service de CAH – DIR-001-08 ou Annexe 7 SEC-006 DIR-001-08</w:t>
      </w:r>
    </w:p>
    <w:p w:rsidR="00335999" w:rsidRPr="00D726B7" w:rsidRDefault="00335999" w:rsidP="00335999">
      <w:pPr>
        <w:pStyle w:val="BodyText"/>
        <w:spacing w:before="6"/>
        <w:ind w:left="1800"/>
        <w:rPr>
          <w:rFonts w:ascii="Corbel" w:eastAsiaTheme="minorHAnsi" w:hAnsi="Corbel" w:cs="Calibri"/>
          <w:bCs/>
          <w:w w:val="105"/>
          <w:sz w:val="22"/>
          <w:szCs w:val="22"/>
          <w:lang w:val="fr-CA" w:eastAsia="en-US"/>
        </w:rPr>
      </w:pPr>
    </w:p>
    <w:p w:rsidR="008F7383" w:rsidRPr="00221B5F" w:rsidRDefault="008F7383" w:rsidP="00221B5F">
      <w:pPr>
        <w:pStyle w:val="NoSpacing"/>
        <w:ind w:left="720"/>
        <w:rPr>
          <w:w w:val="105"/>
          <w:sz w:val="22"/>
          <w:szCs w:val="22"/>
          <w:lang w:val="fr-CA"/>
        </w:rPr>
      </w:pPr>
      <w:bookmarkStart w:id="0" w:name="_GoBack"/>
      <w:bookmarkEnd w:id="0"/>
    </w:p>
    <w:sectPr w:rsidR="008F7383" w:rsidRPr="00221B5F" w:rsidSect="00221B5F">
      <w:footerReference w:type="default" r:id="rId10"/>
      <w:pgSz w:w="12240" w:h="15840"/>
      <w:pgMar w:top="964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F6A" w:rsidRDefault="00564F6A" w:rsidP="00564F6A">
      <w:pPr>
        <w:spacing w:after="0" w:line="240" w:lineRule="auto"/>
      </w:pPr>
      <w:r>
        <w:separator/>
      </w:r>
    </w:p>
  </w:endnote>
  <w:endnote w:type="continuationSeparator" w:id="0">
    <w:p w:rsidR="00564F6A" w:rsidRDefault="00564F6A" w:rsidP="0056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637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4F6A" w:rsidRDefault="00564F6A">
        <w:pPr>
          <w:pStyle w:val="Footer"/>
          <w:jc w:val="right"/>
        </w:pPr>
        <w:proofErr w:type="spellStart"/>
        <w:r>
          <w:t>Juin</w:t>
        </w:r>
        <w:proofErr w:type="spellEnd"/>
        <w:r>
          <w:t xml:space="preserve"> 2018 -  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B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4F6A" w:rsidRDefault="00564F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F6A" w:rsidRDefault="00564F6A" w:rsidP="00564F6A">
      <w:pPr>
        <w:spacing w:after="0" w:line="240" w:lineRule="auto"/>
      </w:pPr>
      <w:r>
        <w:separator/>
      </w:r>
    </w:p>
  </w:footnote>
  <w:footnote w:type="continuationSeparator" w:id="0">
    <w:p w:rsidR="00564F6A" w:rsidRDefault="00564F6A" w:rsidP="00564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70AE9"/>
    <w:multiLevelType w:val="hybridMultilevel"/>
    <w:tmpl w:val="DC58B81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B1D1B"/>
    <w:multiLevelType w:val="hybridMultilevel"/>
    <w:tmpl w:val="7AF218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179F3"/>
    <w:multiLevelType w:val="hybridMultilevel"/>
    <w:tmpl w:val="8DA0A546"/>
    <w:lvl w:ilvl="0" w:tplc="73DA061C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544FF"/>
    <w:multiLevelType w:val="hybridMultilevel"/>
    <w:tmpl w:val="A0486F74"/>
    <w:lvl w:ilvl="0" w:tplc="4FB06AB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7EF018E"/>
    <w:multiLevelType w:val="hybridMultilevel"/>
    <w:tmpl w:val="5A8880D6"/>
    <w:lvl w:ilvl="0" w:tplc="1009000F">
      <w:start w:val="1"/>
      <w:numFmt w:val="decimal"/>
      <w:lvlText w:val="%1."/>
      <w:lvlJc w:val="left"/>
      <w:pPr>
        <w:ind w:left="1541" w:hanging="360"/>
      </w:pPr>
    </w:lvl>
    <w:lvl w:ilvl="1" w:tplc="0C0C0019">
      <w:start w:val="1"/>
      <w:numFmt w:val="lowerLetter"/>
      <w:lvlText w:val="%2."/>
      <w:lvlJc w:val="left"/>
      <w:pPr>
        <w:ind w:left="2261" w:hanging="360"/>
      </w:pPr>
    </w:lvl>
    <w:lvl w:ilvl="2" w:tplc="0C0C001B" w:tentative="1">
      <w:start w:val="1"/>
      <w:numFmt w:val="lowerRoman"/>
      <w:lvlText w:val="%3."/>
      <w:lvlJc w:val="right"/>
      <w:pPr>
        <w:ind w:left="2981" w:hanging="180"/>
      </w:pPr>
    </w:lvl>
    <w:lvl w:ilvl="3" w:tplc="0C0C000F" w:tentative="1">
      <w:start w:val="1"/>
      <w:numFmt w:val="decimal"/>
      <w:lvlText w:val="%4."/>
      <w:lvlJc w:val="left"/>
      <w:pPr>
        <w:ind w:left="3701" w:hanging="360"/>
      </w:pPr>
    </w:lvl>
    <w:lvl w:ilvl="4" w:tplc="0C0C0019" w:tentative="1">
      <w:start w:val="1"/>
      <w:numFmt w:val="lowerLetter"/>
      <w:lvlText w:val="%5."/>
      <w:lvlJc w:val="left"/>
      <w:pPr>
        <w:ind w:left="4421" w:hanging="360"/>
      </w:pPr>
    </w:lvl>
    <w:lvl w:ilvl="5" w:tplc="0C0C001B" w:tentative="1">
      <w:start w:val="1"/>
      <w:numFmt w:val="lowerRoman"/>
      <w:lvlText w:val="%6."/>
      <w:lvlJc w:val="right"/>
      <w:pPr>
        <w:ind w:left="5141" w:hanging="180"/>
      </w:pPr>
    </w:lvl>
    <w:lvl w:ilvl="6" w:tplc="0C0C000F" w:tentative="1">
      <w:start w:val="1"/>
      <w:numFmt w:val="decimal"/>
      <w:lvlText w:val="%7."/>
      <w:lvlJc w:val="left"/>
      <w:pPr>
        <w:ind w:left="5861" w:hanging="360"/>
      </w:pPr>
    </w:lvl>
    <w:lvl w:ilvl="7" w:tplc="0C0C0019" w:tentative="1">
      <w:start w:val="1"/>
      <w:numFmt w:val="lowerLetter"/>
      <w:lvlText w:val="%8."/>
      <w:lvlJc w:val="left"/>
      <w:pPr>
        <w:ind w:left="6581" w:hanging="360"/>
      </w:pPr>
    </w:lvl>
    <w:lvl w:ilvl="8" w:tplc="0C0C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5">
    <w:nsid w:val="6BEB6D2C"/>
    <w:multiLevelType w:val="hybridMultilevel"/>
    <w:tmpl w:val="6056354A"/>
    <w:lvl w:ilvl="0" w:tplc="D65C0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83"/>
    <w:rsid w:val="001D194A"/>
    <w:rsid w:val="00221B5F"/>
    <w:rsid w:val="002E76AE"/>
    <w:rsid w:val="00335999"/>
    <w:rsid w:val="00564F6A"/>
    <w:rsid w:val="005F018F"/>
    <w:rsid w:val="00624CFC"/>
    <w:rsid w:val="007B6A42"/>
    <w:rsid w:val="008D1608"/>
    <w:rsid w:val="008F7383"/>
    <w:rsid w:val="00BE469F"/>
    <w:rsid w:val="00C374F7"/>
    <w:rsid w:val="00C51C16"/>
    <w:rsid w:val="00D7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Theme="minorHAnsi" w:hAnsi="Corbel" w:cs="Calibri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C16"/>
    <w:pPr>
      <w:spacing w:after="160" w:line="259" w:lineRule="auto"/>
    </w:pPr>
    <w:rPr>
      <w:rFonts w:asciiTheme="minorHAnsi" w:eastAsia="Times New Roman" w:hAnsi="Times New Roman" w:cs="Times New Roman"/>
      <w:sz w:val="22"/>
      <w:szCs w:val="22"/>
      <w:lang w:eastAsia="en-CA"/>
    </w:rPr>
  </w:style>
  <w:style w:type="paragraph" w:styleId="Heading1">
    <w:name w:val="heading 1"/>
    <w:basedOn w:val="Normal"/>
    <w:link w:val="Heading1Char"/>
    <w:uiPriority w:val="1"/>
    <w:qFormat/>
    <w:rsid w:val="002E76AE"/>
    <w:pPr>
      <w:widowControl w:val="0"/>
      <w:autoSpaceDE w:val="0"/>
      <w:autoSpaceDN w:val="0"/>
      <w:spacing w:after="0" w:line="240" w:lineRule="auto"/>
      <w:ind w:left="480"/>
      <w:outlineLvl w:val="0"/>
    </w:pPr>
    <w:rPr>
      <w:rFonts w:ascii="Arial Narrow" w:eastAsia="Arial Narrow" w:hAnsi="Arial Narrow" w:cs="Arial Narrow"/>
      <w:b/>
      <w:bCs/>
      <w:sz w:val="28"/>
      <w:szCs w:val="28"/>
      <w:lang w:val="fr-FR" w:eastAsia="fr-FR" w:bidi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B6A42"/>
    <w:pPr>
      <w:widowControl w:val="0"/>
      <w:spacing w:after="0" w:line="240" w:lineRule="auto"/>
      <w:ind w:left="821" w:hanging="360"/>
    </w:pPr>
    <w:rPr>
      <w:rFonts w:ascii="Arial Narrow" w:eastAsia="Arial Narrow" w:hAnsi="Arial Narrow" w:cstheme="minorBidi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B6A42"/>
    <w:rPr>
      <w:rFonts w:ascii="Arial Narrow" w:eastAsia="Arial Narrow" w:hAnsi="Arial Narrow" w:cstheme="minorBidi"/>
      <w:sz w:val="23"/>
      <w:szCs w:val="23"/>
      <w:lang w:val="en-US"/>
    </w:rPr>
  </w:style>
  <w:style w:type="paragraph" w:styleId="NoSpacing">
    <w:name w:val="No Spacing"/>
    <w:uiPriority w:val="1"/>
    <w:qFormat/>
    <w:rsid w:val="007B6A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19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E76AE"/>
    <w:rPr>
      <w:rFonts w:ascii="Arial Narrow" w:eastAsia="Arial Narrow" w:hAnsi="Arial Narrow" w:cs="Arial Narrow"/>
      <w:b/>
      <w:bCs/>
      <w:sz w:val="28"/>
      <w:szCs w:val="28"/>
      <w:lang w:val="fr-FR" w:eastAsia="fr-FR" w:bidi="fr-FR"/>
    </w:rPr>
  </w:style>
  <w:style w:type="paragraph" w:styleId="Header">
    <w:name w:val="header"/>
    <w:basedOn w:val="Normal"/>
    <w:link w:val="HeaderChar"/>
    <w:uiPriority w:val="99"/>
    <w:unhideWhenUsed/>
    <w:rsid w:val="00564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F6A"/>
    <w:rPr>
      <w:rFonts w:asciiTheme="minorHAnsi" w:eastAsia="Times New Roman" w:hAnsi="Times New Roman" w:cs="Times New Roman"/>
      <w:sz w:val="22"/>
      <w:szCs w:val="22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564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F6A"/>
    <w:rPr>
      <w:rFonts w:asciiTheme="minorHAnsi" w:eastAsia="Times New Roman" w:hAnsi="Times New Roman" w:cs="Times New Roman"/>
      <w:sz w:val="22"/>
      <w:szCs w:val="22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B5F"/>
    <w:rPr>
      <w:rFonts w:ascii="Tahoma" w:eastAsia="Times New Roman" w:hAnsi="Tahoma" w:cs="Tahoma"/>
      <w:sz w:val="16"/>
      <w:szCs w:val="16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Theme="minorHAnsi" w:hAnsi="Corbel" w:cs="Calibri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C16"/>
    <w:pPr>
      <w:spacing w:after="160" w:line="259" w:lineRule="auto"/>
    </w:pPr>
    <w:rPr>
      <w:rFonts w:asciiTheme="minorHAnsi" w:eastAsia="Times New Roman" w:hAnsi="Times New Roman" w:cs="Times New Roman"/>
      <w:sz w:val="22"/>
      <w:szCs w:val="22"/>
      <w:lang w:eastAsia="en-CA"/>
    </w:rPr>
  </w:style>
  <w:style w:type="paragraph" w:styleId="Heading1">
    <w:name w:val="heading 1"/>
    <w:basedOn w:val="Normal"/>
    <w:link w:val="Heading1Char"/>
    <w:uiPriority w:val="1"/>
    <w:qFormat/>
    <w:rsid w:val="002E76AE"/>
    <w:pPr>
      <w:widowControl w:val="0"/>
      <w:autoSpaceDE w:val="0"/>
      <w:autoSpaceDN w:val="0"/>
      <w:spacing w:after="0" w:line="240" w:lineRule="auto"/>
      <w:ind w:left="480"/>
      <w:outlineLvl w:val="0"/>
    </w:pPr>
    <w:rPr>
      <w:rFonts w:ascii="Arial Narrow" w:eastAsia="Arial Narrow" w:hAnsi="Arial Narrow" w:cs="Arial Narrow"/>
      <w:b/>
      <w:bCs/>
      <w:sz w:val="28"/>
      <w:szCs w:val="28"/>
      <w:lang w:val="fr-FR" w:eastAsia="fr-FR" w:bidi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B6A42"/>
    <w:pPr>
      <w:widowControl w:val="0"/>
      <w:spacing w:after="0" w:line="240" w:lineRule="auto"/>
      <w:ind w:left="821" w:hanging="360"/>
    </w:pPr>
    <w:rPr>
      <w:rFonts w:ascii="Arial Narrow" w:eastAsia="Arial Narrow" w:hAnsi="Arial Narrow" w:cstheme="minorBidi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B6A42"/>
    <w:rPr>
      <w:rFonts w:ascii="Arial Narrow" w:eastAsia="Arial Narrow" w:hAnsi="Arial Narrow" w:cstheme="minorBidi"/>
      <w:sz w:val="23"/>
      <w:szCs w:val="23"/>
      <w:lang w:val="en-US"/>
    </w:rPr>
  </w:style>
  <w:style w:type="paragraph" w:styleId="NoSpacing">
    <w:name w:val="No Spacing"/>
    <w:uiPriority w:val="1"/>
    <w:qFormat/>
    <w:rsid w:val="007B6A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19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E76AE"/>
    <w:rPr>
      <w:rFonts w:ascii="Arial Narrow" w:eastAsia="Arial Narrow" w:hAnsi="Arial Narrow" w:cs="Arial Narrow"/>
      <w:b/>
      <w:bCs/>
      <w:sz w:val="28"/>
      <w:szCs w:val="28"/>
      <w:lang w:val="fr-FR" w:eastAsia="fr-FR" w:bidi="fr-FR"/>
    </w:rPr>
  </w:style>
  <w:style w:type="paragraph" w:styleId="Header">
    <w:name w:val="header"/>
    <w:basedOn w:val="Normal"/>
    <w:link w:val="HeaderChar"/>
    <w:uiPriority w:val="99"/>
    <w:unhideWhenUsed/>
    <w:rsid w:val="00564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F6A"/>
    <w:rPr>
      <w:rFonts w:asciiTheme="minorHAnsi" w:eastAsia="Times New Roman" w:hAnsi="Times New Roman" w:cs="Times New Roman"/>
      <w:sz w:val="22"/>
      <w:szCs w:val="22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564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F6A"/>
    <w:rPr>
      <w:rFonts w:asciiTheme="minorHAnsi" w:eastAsia="Times New Roman" w:hAnsi="Times New Roman" w:cs="Times New Roman"/>
      <w:sz w:val="22"/>
      <w:szCs w:val="22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B5F"/>
    <w:rPr>
      <w:rFonts w:ascii="Tahoma" w:eastAsia="Times New Roman" w:hAnsi="Tahoma" w:cs="Tahoma"/>
      <w:sz w:val="16"/>
      <w:szCs w:val="1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5.png@01D42F2F.965358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Legault</dc:creator>
  <cp:keywords/>
  <dc:description/>
  <cp:lastModifiedBy>Linda Legault</cp:lastModifiedBy>
  <cp:revision>7</cp:revision>
  <dcterms:created xsi:type="dcterms:W3CDTF">2018-04-13T15:22:00Z</dcterms:created>
  <dcterms:modified xsi:type="dcterms:W3CDTF">2018-08-27T17:49:00Z</dcterms:modified>
</cp:coreProperties>
</file>