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sz w:val="24"/>
          <w:szCs w:val="24"/>
          <w:lang w:val="fr-CA"/>
        </w:rPr>
      </w:pPr>
      <w:r w:rsidRPr="00912BFA">
        <w:rPr>
          <w:rFonts w:ascii="Corbel" w:hAnsi="Corbel"/>
          <w:b/>
          <w:sz w:val="24"/>
          <w:szCs w:val="24"/>
          <w:lang w:val="fr-CA"/>
        </w:rPr>
        <w:t>Politique</w:t>
      </w: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sz w:val="24"/>
          <w:szCs w:val="24"/>
          <w:lang w:val="fr-CA"/>
        </w:rPr>
      </w:pP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fr-CA"/>
        </w:rPr>
      </w:pPr>
      <w:r w:rsidRPr="00912BFA">
        <w:rPr>
          <w:rFonts w:ascii="Corbel" w:hAnsi="Corbel"/>
          <w:sz w:val="24"/>
          <w:szCs w:val="24"/>
          <w:lang w:val="fr-CA"/>
        </w:rPr>
        <w:t>CAH peut choisir d’arrêter les opérations pendant la journée et les reprendre une fois jugé sécuritaire de le faire.</w:t>
      </w: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fr-CA"/>
        </w:rPr>
      </w:pP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sz w:val="24"/>
          <w:szCs w:val="24"/>
          <w:lang w:val="fr-CA"/>
        </w:rPr>
      </w:pPr>
      <w:r w:rsidRPr="00912BFA">
        <w:rPr>
          <w:rFonts w:ascii="Corbel" w:hAnsi="Corbel"/>
          <w:b/>
          <w:sz w:val="24"/>
          <w:szCs w:val="24"/>
          <w:lang w:val="fr-CA"/>
        </w:rPr>
        <w:t>Procédures</w:t>
      </w: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sz w:val="24"/>
          <w:szCs w:val="24"/>
          <w:lang w:val="fr-CA"/>
        </w:rPr>
      </w:pPr>
    </w:p>
    <w:p w:rsidR="00314DCE" w:rsidRPr="00912BFA" w:rsidRDefault="00314DCE" w:rsidP="0031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/>
          <w:sz w:val="24"/>
          <w:szCs w:val="24"/>
          <w:lang w:val="fr-CA"/>
        </w:rPr>
      </w:pPr>
      <w:r w:rsidRPr="00912BFA">
        <w:rPr>
          <w:rFonts w:ascii="Corbel" w:hAnsi="Corbel"/>
          <w:sz w:val="24"/>
          <w:szCs w:val="24"/>
          <w:lang w:val="fr-CA"/>
        </w:rPr>
        <w:t xml:space="preserve">En cas de fermeture occasionnée par les conditions météorologiques, les employés de CAH seront contactés pour être informés de la décision prise quant à la fermeture et ceci sera effectué avec un préavis transmis dès que possible. </w:t>
      </w:r>
    </w:p>
    <w:p w:rsidR="00314DCE" w:rsidRPr="00912BFA" w:rsidRDefault="00314DCE" w:rsidP="00314DC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Corbel" w:hAnsi="Corbel"/>
          <w:sz w:val="24"/>
          <w:szCs w:val="24"/>
          <w:lang w:val="fr-CA"/>
        </w:rPr>
      </w:pPr>
    </w:p>
    <w:p w:rsidR="00314DCE" w:rsidRPr="00912BFA" w:rsidRDefault="00314DCE" w:rsidP="0031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/>
          <w:sz w:val="24"/>
          <w:szCs w:val="24"/>
          <w:lang w:val="fr-CA"/>
        </w:rPr>
      </w:pPr>
      <w:r w:rsidRPr="00912BFA">
        <w:rPr>
          <w:rFonts w:ascii="Corbel" w:hAnsi="Corbel"/>
          <w:sz w:val="24"/>
          <w:szCs w:val="24"/>
          <w:lang w:val="fr-CA"/>
        </w:rPr>
        <w:t>Les employés seront contactés par téléphone au(x) numéro(s) de téléphone fourni(s) aux ressources humaines sur la feuille de coordonnées des employés.</w:t>
      </w:r>
    </w:p>
    <w:p w:rsidR="00314DCE" w:rsidRPr="00912BFA" w:rsidRDefault="00314DCE" w:rsidP="00314DCE">
      <w:pPr>
        <w:pStyle w:val="ListParagraph"/>
        <w:rPr>
          <w:rFonts w:ascii="Corbel" w:hAnsi="Corbel"/>
          <w:sz w:val="24"/>
          <w:szCs w:val="24"/>
          <w:lang w:val="fr-CA"/>
        </w:rPr>
      </w:pPr>
    </w:p>
    <w:p w:rsidR="00314DCE" w:rsidRPr="00912BFA" w:rsidRDefault="00314DCE" w:rsidP="0031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/>
          <w:sz w:val="24"/>
          <w:szCs w:val="24"/>
          <w:lang w:val="fr-CA"/>
        </w:rPr>
      </w:pPr>
      <w:r w:rsidRPr="00912BFA">
        <w:rPr>
          <w:rFonts w:ascii="Corbel" w:hAnsi="Corbel"/>
          <w:sz w:val="24"/>
          <w:szCs w:val="24"/>
          <w:lang w:val="fr-CA"/>
        </w:rPr>
        <w:t>Dans l'éventualité d'une fermeture occasionnée par les conditions météorologiques, les employés doivent se rendre au travail le lendemain, à moins d'un avis contraire.</w:t>
      </w:r>
    </w:p>
    <w:p w:rsidR="00314DCE" w:rsidRPr="00912BFA" w:rsidRDefault="00314DCE" w:rsidP="00314DCE">
      <w:pPr>
        <w:pStyle w:val="ListParagraph"/>
        <w:rPr>
          <w:rFonts w:ascii="Corbel" w:hAnsi="Corbel"/>
          <w:sz w:val="24"/>
          <w:szCs w:val="24"/>
          <w:lang w:val="fr-CA"/>
        </w:rPr>
      </w:pPr>
    </w:p>
    <w:p w:rsidR="00314DCE" w:rsidRPr="00912BFA" w:rsidRDefault="00314DCE" w:rsidP="00314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/>
          <w:sz w:val="24"/>
          <w:szCs w:val="24"/>
          <w:lang w:val="fr-CA"/>
        </w:rPr>
      </w:pPr>
      <w:r w:rsidRPr="00912BFA">
        <w:rPr>
          <w:rFonts w:ascii="Corbel" w:hAnsi="Corbel"/>
          <w:sz w:val="24"/>
          <w:szCs w:val="24"/>
          <w:lang w:val="fr-CA"/>
        </w:rPr>
        <w:t>Dans l'éventualité où les conditions routières ou les conditions météorologiques créent une situation où il a été jugé dangereux de se présenter au travail pour les heures normales de travail; les employés doivent u</w:t>
      </w:r>
      <w:r w:rsidR="000776F4">
        <w:rPr>
          <w:rFonts w:ascii="Corbel" w:hAnsi="Corbel"/>
          <w:sz w:val="24"/>
          <w:szCs w:val="24"/>
          <w:lang w:val="fr-CA"/>
        </w:rPr>
        <w:t xml:space="preserve">tiliser </w:t>
      </w:r>
      <w:r w:rsidRPr="00912BFA">
        <w:rPr>
          <w:rFonts w:ascii="Corbel" w:hAnsi="Corbel"/>
          <w:sz w:val="24"/>
          <w:szCs w:val="24"/>
          <w:lang w:val="fr-CA"/>
        </w:rPr>
        <w:t>leur propre jugement à cet égard. Dans cette éventualité, les employés doivent contacter leur superviseur immédiat ou les ressources humaines pour les informer du fait qu'ils seront absents à cause des conditions météorologiques existantes.</w:t>
      </w:r>
    </w:p>
    <w:p w:rsidR="00314DCE" w:rsidRPr="00912BFA" w:rsidRDefault="00314DCE" w:rsidP="00314DC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fr-CA"/>
        </w:rPr>
      </w:pPr>
    </w:p>
    <w:p w:rsidR="00784B96" w:rsidRPr="00912BFA" w:rsidRDefault="00784B96">
      <w:pPr>
        <w:rPr>
          <w:rFonts w:ascii="Corbel" w:hAnsi="Corbel"/>
          <w:lang w:val="fr-CA"/>
        </w:rPr>
      </w:pPr>
    </w:p>
    <w:sectPr w:rsidR="00784B96" w:rsidRPr="00912BFA" w:rsidSect="00430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0F" w:rsidRDefault="0043000F" w:rsidP="0043000F">
      <w:pPr>
        <w:spacing w:after="0" w:line="240" w:lineRule="auto"/>
      </w:pPr>
      <w:r>
        <w:separator/>
      </w:r>
    </w:p>
  </w:endnote>
  <w:endnote w:type="continuationSeparator" w:id="0">
    <w:p w:rsidR="0043000F" w:rsidRDefault="0043000F" w:rsidP="0043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15" w:rsidRDefault="00451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15" w:rsidRDefault="00451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0F" w:rsidRPr="00451C15" w:rsidRDefault="00451C15" w:rsidP="0043000F">
    <w:pPr>
      <w:pStyle w:val="Footer"/>
      <w:rPr>
        <w:rFonts w:ascii="Corbel" w:hAnsi="Corbel"/>
        <w:lang w:val="fr-CA"/>
      </w:rPr>
    </w:pPr>
    <w:r w:rsidRPr="00451C15">
      <w:rPr>
        <w:rFonts w:ascii="Corbel" w:hAnsi="Corbel" w:cs="Arial"/>
        <w:sz w:val="20"/>
        <w:szCs w:val="20"/>
        <w:lang w:val="fr-FR"/>
      </w:rPr>
      <w:t>Politique</w:t>
    </w:r>
    <w:r w:rsidR="0043000F" w:rsidRPr="00451C15">
      <w:rPr>
        <w:rFonts w:ascii="Corbel" w:hAnsi="Corbel" w:cs="Arial"/>
        <w:sz w:val="20"/>
        <w:szCs w:val="20"/>
        <w:lang w:val="fr-FR"/>
      </w:rPr>
      <w:t xml:space="preserve"> relative aux conditions météorologiques: </w:t>
    </w:r>
    <w:r w:rsidR="00AA1AB4">
      <w:rPr>
        <w:rFonts w:ascii="Corbel" w:hAnsi="Corbel" w:cs="Arial"/>
        <w:sz w:val="20"/>
        <w:szCs w:val="20"/>
        <w:lang w:val="fr-FR"/>
      </w:rPr>
      <w:t>DIR-Risque-001-04</w:t>
    </w:r>
    <w:r w:rsidR="0043000F" w:rsidRPr="00451C15">
      <w:rPr>
        <w:rFonts w:ascii="Corbel" w:hAnsi="Corbel" w:cs="Arial"/>
        <w:sz w:val="20"/>
        <w:szCs w:val="20"/>
        <w:lang w:val="fr-FR"/>
      </w:rPr>
      <w:tab/>
      <w:t>Page :</w:t>
    </w:r>
    <w:r w:rsidR="0043000F" w:rsidRPr="00451C15">
      <w:rPr>
        <w:rFonts w:ascii="Corbel" w:eastAsia="Arial" w:hAnsi="Corbel" w:cs="Arial"/>
        <w:sz w:val="20"/>
        <w:szCs w:val="20"/>
        <w:lang w:val="fr-FR"/>
      </w:rPr>
      <w:t xml:space="preserve"> </w:t>
    </w:r>
    <w:r w:rsidR="0043000F" w:rsidRPr="00451C15">
      <w:rPr>
        <w:rFonts w:ascii="Corbel" w:hAnsi="Corbel" w:cs="Arial"/>
        <w:sz w:val="20"/>
        <w:szCs w:val="20"/>
        <w:lang w:val="fr-FR"/>
      </w:rPr>
      <w:fldChar w:fldCharType="begin"/>
    </w:r>
    <w:r w:rsidR="0043000F" w:rsidRPr="00451C15">
      <w:rPr>
        <w:rFonts w:ascii="Corbel" w:hAnsi="Corbel" w:cs="Arial"/>
        <w:sz w:val="20"/>
        <w:szCs w:val="20"/>
        <w:lang w:val="fr-FR"/>
      </w:rPr>
      <w:instrText xml:space="preserve"> PAGE </w:instrText>
    </w:r>
    <w:r w:rsidR="0043000F" w:rsidRPr="00451C15">
      <w:rPr>
        <w:rFonts w:ascii="Corbel" w:hAnsi="Corbel" w:cs="Arial"/>
        <w:sz w:val="20"/>
        <w:szCs w:val="20"/>
        <w:lang w:val="fr-FR"/>
      </w:rPr>
      <w:fldChar w:fldCharType="separate"/>
    </w:r>
    <w:r w:rsidR="000064C1">
      <w:rPr>
        <w:rFonts w:ascii="Corbel" w:hAnsi="Corbel" w:cs="Arial"/>
        <w:noProof/>
        <w:sz w:val="20"/>
        <w:szCs w:val="20"/>
        <w:lang w:val="fr-FR"/>
      </w:rPr>
      <w:t>1</w:t>
    </w:r>
    <w:r w:rsidR="0043000F" w:rsidRPr="00451C15">
      <w:rPr>
        <w:rFonts w:ascii="Corbel" w:hAnsi="Corbel" w:cs="Arial"/>
        <w:sz w:val="20"/>
        <w:szCs w:val="20"/>
        <w:lang w:val="fr-FR"/>
      </w:rPr>
      <w:fldChar w:fldCharType="end"/>
    </w:r>
    <w:r w:rsidR="0043000F" w:rsidRPr="00451C15">
      <w:rPr>
        <w:rFonts w:ascii="Corbel" w:eastAsia="Arial" w:hAnsi="Corbel" w:cs="Arial"/>
        <w:sz w:val="20"/>
        <w:szCs w:val="20"/>
        <w:lang w:val="fr-FR"/>
      </w:rPr>
      <w:t xml:space="preserve"> </w:t>
    </w:r>
    <w:r w:rsidR="0043000F" w:rsidRPr="00451C15">
      <w:rPr>
        <w:rFonts w:ascii="Corbel" w:hAnsi="Corbel" w:cs="Arial"/>
        <w:sz w:val="20"/>
        <w:szCs w:val="20"/>
        <w:lang w:val="fr-FR"/>
      </w:rPr>
      <w:t>/</w:t>
    </w:r>
    <w:r w:rsidR="0043000F" w:rsidRPr="00451C15">
      <w:rPr>
        <w:rFonts w:ascii="Corbel" w:eastAsia="Arial" w:hAnsi="Corbel" w:cs="Arial"/>
        <w:sz w:val="20"/>
        <w:szCs w:val="20"/>
        <w:lang w:val="fr-FR"/>
      </w:rPr>
      <w:t xml:space="preserve"> </w:t>
    </w:r>
    <w:r w:rsidR="0043000F" w:rsidRPr="00451C15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43000F" w:rsidRPr="00451C15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43000F" w:rsidRPr="00451C15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0064C1">
      <w:rPr>
        <w:rStyle w:val="PageNumber"/>
        <w:rFonts w:ascii="Corbel" w:hAnsi="Corbel" w:cs="Arial"/>
        <w:noProof/>
        <w:sz w:val="20"/>
        <w:szCs w:val="20"/>
        <w:lang w:val="fr-FR"/>
      </w:rPr>
      <w:t>1</w:t>
    </w:r>
    <w:r w:rsidR="0043000F" w:rsidRPr="00451C15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43000F" w:rsidRPr="0043000F" w:rsidRDefault="0043000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0F" w:rsidRDefault="0043000F" w:rsidP="0043000F">
      <w:pPr>
        <w:spacing w:after="0" w:line="240" w:lineRule="auto"/>
      </w:pPr>
      <w:r>
        <w:separator/>
      </w:r>
    </w:p>
  </w:footnote>
  <w:footnote w:type="continuationSeparator" w:id="0">
    <w:p w:rsidR="0043000F" w:rsidRDefault="0043000F" w:rsidP="0043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15" w:rsidRDefault="00451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15" w:rsidRDefault="00451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43000F" w:rsidRPr="000064C1" w:rsidTr="008A5436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43000F" w:rsidRPr="00296197" w:rsidRDefault="000064C1" w:rsidP="0043000F">
          <w:pPr>
            <w:snapToGrid w:val="0"/>
            <w:jc w:val="center"/>
            <w:rPr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3000F" w:rsidRPr="00F12DCE" w:rsidRDefault="0043000F" w:rsidP="00AA1AB4">
          <w:pPr>
            <w:rPr>
              <w:b/>
              <w:sz w:val="36"/>
              <w:szCs w:val="36"/>
              <w:lang w:val="fr-FR"/>
            </w:rPr>
          </w:pPr>
          <w:r w:rsidRPr="00F12DCE">
            <w:rPr>
              <w:b/>
              <w:lang w:val="fr-FR"/>
            </w:rPr>
            <w:t>POLITIQUES ET PROCÉDURES</w:t>
          </w:r>
          <w:r w:rsidRPr="00F12DCE">
            <w:rPr>
              <w:b/>
              <w:sz w:val="28"/>
              <w:szCs w:val="36"/>
              <w:lang w:val="fr-FR"/>
            </w:rPr>
            <w:t xml:space="preserve">  </w:t>
          </w:r>
          <w:r w:rsidR="00AA1AB4">
            <w:rPr>
              <w:b/>
              <w:sz w:val="28"/>
              <w:szCs w:val="36"/>
              <w:lang w:val="fr-FR"/>
            </w:rPr>
            <w:t>-</w:t>
          </w:r>
          <w:r w:rsidRPr="00F12DCE">
            <w:rPr>
              <w:b/>
              <w:sz w:val="28"/>
              <w:szCs w:val="36"/>
              <w:lang w:val="fr-FR"/>
            </w:rPr>
            <w:t xml:space="preserve"> </w:t>
          </w:r>
          <w:r w:rsidR="00AA1AB4">
            <w:rPr>
              <w:b/>
              <w:sz w:val="28"/>
              <w:szCs w:val="36"/>
              <w:lang w:val="fr-FR"/>
            </w:rPr>
            <w:t xml:space="preserve"> </w:t>
          </w:r>
          <w:r w:rsidR="00AA1AB4" w:rsidRPr="00AA1AB4">
            <w:rPr>
              <w:b/>
              <w:sz w:val="24"/>
              <w:szCs w:val="24"/>
              <w:lang w:val="fr-FR"/>
            </w:rPr>
            <w:t>DIRECTION</w:t>
          </w:r>
          <w:r w:rsidRPr="00F12DCE">
            <w:rPr>
              <w:b/>
              <w:sz w:val="28"/>
              <w:szCs w:val="36"/>
              <w:lang w:val="fr-FR"/>
            </w:rPr>
            <w:t xml:space="preserve">                        </w:t>
          </w:r>
          <w:r w:rsidR="00AA1AB4">
            <w:rPr>
              <w:b/>
              <w:sz w:val="28"/>
              <w:szCs w:val="36"/>
              <w:lang w:val="fr-FR"/>
            </w:rPr>
            <w:t xml:space="preserve">            </w:t>
          </w:r>
          <w:r w:rsidR="00AA1AB4" w:rsidRPr="00AA1AB4">
            <w:rPr>
              <w:rFonts w:cs="Arial"/>
              <w:b/>
              <w:lang w:val="fr-FR"/>
            </w:rPr>
            <w:t>DIR-Risque</w:t>
          </w:r>
          <w:r w:rsidR="00AA1AB4">
            <w:rPr>
              <w:rFonts w:cs="Arial"/>
              <w:b/>
              <w:lang w:val="fr-FR"/>
            </w:rPr>
            <w:t>-001</w:t>
          </w:r>
          <w:r>
            <w:rPr>
              <w:rFonts w:cs="Arial"/>
              <w:b/>
              <w:lang w:val="fr-FR"/>
            </w:rPr>
            <w:t>-0</w:t>
          </w:r>
          <w:r w:rsidR="00AA1AB4">
            <w:rPr>
              <w:rFonts w:cs="Arial"/>
              <w:b/>
              <w:lang w:val="fr-FR"/>
            </w:rPr>
            <w:t>4</w:t>
          </w:r>
        </w:p>
      </w:tc>
    </w:tr>
    <w:tr w:rsidR="0043000F" w:rsidRPr="00B43FD3" w:rsidTr="008A5436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43000F" w:rsidRPr="00B43FD3" w:rsidRDefault="0043000F" w:rsidP="0043000F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3000F" w:rsidRPr="00F12DCE" w:rsidRDefault="00AA1AB4" w:rsidP="0043000F">
          <w:pPr>
            <w:rPr>
              <w:rFonts w:cs="Arial"/>
              <w:b/>
              <w:sz w:val="32"/>
              <w:szCs w:val="32"/>
              <w:lang w:val="fr-FR"/>
            </w:rPr>
          </w:pPr>
          <w:r>
            <w:rPr>
              <w:rFonts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F12DCE" w:rsidRDefault="0043000F" w:rsidP="0043000F">
          <w:pPr>
            <w:rPr>
              <w:rFonts w:cs="Arial"/>
              <w:b/>
              <w:sz w:val="32"/>
              <w:szCs w:val="32"/>
              <w:lang w:val="fr-FR"/>
            </w:rPr>
          </w:pPr>
          <w:r>
            <w:rPr>
              <w:rFonts w:cs="Arial"/>
              <w:b/>
              <w:lang w:val="fr-FR"/>
            </w:rPr>
            <w:t>Sécurité - général</w:t>
          </w:r>
        </w:p>
      </w:tc>
    </w:tr>
    <w:tr w:rsidR="0043000F" w:rsidRPr="00E67783" w:rsidTr="008A5436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43000F" w:rsidRPr="00B43FD3" w:rsidRDefault="0043000F" w:rsidP="0043000F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F12DCE" w:rsidRDefault="0043000F" w:rsidP="0043000F">
          <w:pPr>
            <w:rPr>
              <w:rFonts w:cs="Arial"/>
              <w:sz w:val="20"/>
              <w:szCs w:val="20"/>
              <w:lang w:val="fr-FR"/>
            </w:rPr>
          </w:pPr>
          <w:r w:rsidRPr="00F12DCE">
            <w:rPr>
              <w:rFonts w:cs="Arial"/>
              <w:b/>
              <w:sz w:val="20"/>
              <w:szCs w:val="20"/>
              <w:lang w:val="fr-FR"/>
            </w:rPr>
            <w:t xml:space="preserve">Adopté par la direction </w:t>
          </w:r>
          <w:r w:rsidRPr="00F12DCE">
            <w:rPr>
              <w:rFonts w:cs="Arial"/>
              <w:sz w:val="20"/>
              <w:szCs w:val="20"/>
              <w:lang w:val="fr-FR"/>
            </w:rPr>
            <w:t xml:space="preserve">: </w:t>
          </w:r>
          <w:r w:rsidRPr="00F12DCE">
            <w:rPr>
              <w:rFonts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43000F" w:rsidRPr="00F12DCE" w:rsidRDefault="0043000F" w:rsidP="0043000F">
          <w:pPr>
            <w:jc w:val="center"/>
            <w:rPr>
              <w:rFonts w:cs="Arial"/>
              <w:b/>
              <w:color w:val="FF0000"/>
              <w:sz w:val="20"/>
              <w:szCs w:val="20"/>
              <w:lang w:val="fr-FR"/>
            </w:rPr>
          </w:pPr>
          <w:r>
            <w:rPr>
              <w:rFonts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0C6A5B" w:rsidRDefault="0043000F" w:rsidP="0043000F">
          <w:pPr>
            <w:rPr>
              <w:rFonts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cs="Arial"/>
              <w:b/>
              <w:sz w:val="20"/>
              <w:szCs w:val="20"/>
              <w:lang w:val="fr-FR"/>
            </w:rPr>
            <w:t xml:space="preserve">Approbation : </w:t>
          </w:r>
          <w:r w:rsidRPr="00F12DCE">
            <w:rPr>
              <w:rFonts w:cs="Arial"/>
              <w:sz w:val="20"/>
              <w:szCs w:val="20"/>
              <w:lang w:val="fr-FR"/>
            </w:rPr>
            <w:t xml:space="preserve">Barbara Ceccarelli </w:t>
          </w:r>
        </w:p>
        <w:p w:rsidR="0043000F" w:rsidRPr="00F12DCE" w:rsidRDefault="0043000F" w:rsidP="0043000F">
          <w:pPr>
            <w:jc w:val="center"/>
            <w:rPr>
              <w:rFonts w:cs="Arial"/>
              <w:color w:val="FF0000"/>
              <w:sz w:val="20"/>
              <w:szCs w:val="20"/>
              <w:lang w:val="fr-FR"/>
            </w:rPr>
          </w:pPr>
          <w:r w:rsidRPr="00F12DCE">
            <w:rPr>
              <w:noProof/>
              <w:lang w:val="en-CA" w:eastAsia="en-CA"/>
            </w:rPr>
            <w:drawing>
              <wp:inline distT="0" distB="0" distL="0" distR="0" wp14:anchorId="25324746" wp14:editId="14E504AD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0C6A5B" w:rsidRDefault="0043000F" w:rsidP="0043000F">
          <w:pPr>
            <w:rPr>
              <w:rFonts w:cs="Arial"/>
              <w:b/>
              <w:sz w:val="20"/>
              <w:szCs w:val="20"/>
              <w:lang w:val="fr-CA"/>
            </w:rPr>
          </w:pPr>
          <w:r w:rsidRPr="00F12DCE">
            <w:rPr>
              <w:rFonts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43000F" w:rsidRPr="00F12DCE" w:rsidRDefault="0043000F" w:rsidP="0043000F">
          <w:pPr>
            <w:jc w:val="center"/>
            <w:rPr>
              <w:rFonts w:cs="Arial"/>
              <w:b/>
              <w:sz w:val="20"/>
              <w:szCs w:val="20"/>
              <w:lang w:val="fr-CA"/>
            </w:rPr>
          </w:pPr>
          <w:r>
            <w:rPr>
              <w:rFonts w:cs="Arial"/>
              <w:sz w:val="20"/>
              <w:szCs w:val="20"/>
              <w:lang w:val="fr-FR"/>
            </w:rPr>
            <w:t>Janvier 2021</w:t>
          </w:r>
        </w:p>
      </w:tc>
    </w:tr>
    <w:tr w:rsidR="0043000F" w:rsidRPr="000064C1" w:rsidTr="008A5436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E469CF" w:rsidRDefault="00451C15" w:rsidP="0043000F">
          <w:pPr>
            <w:rPr>
              <w:rFonts w:cs="Arial"/>
              <w:b/>
              <w:bCs/>
              <w:color w:val="FF0000"/>
              <w:lang w:val="fr-CA"/>
            </w:rPr>
          </w:pPr>
          <w:r>
            <w:rPr>
              <w:rFonts w:cs="Arial"/>
              <w:b/>
              <w:bCs/>
              <w:lang w:val="fr-CA"/>
            </w:rPr>
            <w:t>TITRE :             Politique</w:t>
          </w:r>
          <w:r w:rsidR="0043000F">
            <w:rPr>
              <w:rFonts w:cs="Arial"/>
              <w:b/>
              <w:bCs/>
              <w:lang w:val="fr-CA"/>
            </w:rPr>
            <w:t xml:space="preserve"> relative aux conditions météorologiques</w:t>
          </w:r>
        </w:p>
      </w:tc>
    </w:tr>
    <w:tr w:rsidR="0043000F" w:rsidRPr="000064C1" w:rsidTr="008A5436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F12DCE" w:rsidRDefault="0043000F" w:rsidP="0043000F">
          <w:pPr>
            <w:rPr>
              <w:rFonts w:cs="Arial"/>
              <w:b/>
              <w:bCs/>
              <w:lang w:val="fr-CA"/>
            </w:rPr>
          </w:pPr>
          <w:r w:rsidRPr="00F12DCE">
            <w:rPr>
              <w:b/>
              <w:bCs/>
              <w:sz w:val="20"/>
              <w:szCs w:val="20"/>
              <w:lang w:val="fr-CA"/>
            </w:rPr>
            <w:t>CONCERNE :</w:t>
          </w:r>
          <w:r w:rsidRPr="00F12DCE">
            <w:rPr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43000F" w:rsidRPr="00B412E1" w:rsidTr="008A5436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000F" w:rsidRPr="00F12DCE" w:rsidRDefault="0043000F" w:rsidP="0043000F">
          <w:pPr>
            <w:tabs>
              <w:tab w:val="left" w:pos="1162"/>
            </w:tabs>
            <w:rPr>
              <w:rFonts w:cs="Arial"/>
              <w:b/>
              <w:bCs/>
              <w:sz w:val="20"/>
              <w:szCs w:val="20"/>
              <w:lang w:val="fr-CA"/>
            </w:rPr>
          </w:pPr>
          <w:r>
            <w:rPr>
              <w:rFonts w:cs="Arial"/>
              <w:b/>
              <w:bCs/>
              <w:sz w:val="20"/>
              <w:szCs w:val="20"/>
              <w:lang w:val="fr-CA"/>
            </w:rPr>
            <w:t>Norme :</w:t>
          </w:r>
        </w:p>
      </w:tc>
    </w:tr>
  </w:tbl>
  <w:p w:rsidR="0043000F" w:rsidRDefault="0043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25CE"/>
    <w:multiLevelType w:val="hybridMultilevel"/>
    <w:tmpl w:val="1E4A3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CE"/>
    <w:rsid w:val="000064C1"/>
    <w:rsid w:val="000776F4"/>
    <w:rsid w:val="000B291E"/>
    <w:rsid w:val="00314DCE"/>
    <w:rsid w:val="00427EF5"/>
    <w:rsid w:val="0043000F"/>
    <w:rsid w:val="00451C15"/>
    <w:rsid w:val="004C2F07"/>
    <w:rsid w:val="00784B96"/>
    <w:rsid w:val="00912BFA"/>
    <w:rsid w:val="00A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98EA60-80E9-4112-8DF3-3AED370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C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D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000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0F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43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10</cp:revision>
  <dcterms:created xsi:type="dcterms:W3CDTF">2018-02-15T04:28:00Z</dcterms:created>
  <dcterms:modified xsi:type="dcterms:W3CDTF">2018-08-14T01:38:00Z</dcterms:modified>
</cp:coreProperties>
</file>