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D4" w:rsidRPr="00D259D4" w:rsidRDefault="00D259D4" w:rsidP="001C7FA5">
      <w:pPr>
        <w:pStyle w:val="BodyText"/>
        <w:spacing w:line="250" w:lineRule="auto"/>
        <w:ind w:left="100" w:right="110" w:firstLine="0"/>
        <w:jc w:val="both"/>
        <w:rPr>
          <w:rFonts w:ascii="Corbel" w:hAnsi="Corbel" w:cs="Times New Roman"/>
          <w:b/>
          <w:w w:val="105"/>
          <w:sz w:val="24"/>
          <w:szCs w:val="24"/>
          <w:lang w:val="fr-CA"/>
        </w:rPr>
      </w:pPr>
    </w:p>
    <w:p w:rsidR="001C7FA5" w:rsidRPr="00D259D4" w:rsidRDefault="00D259D4" w:rsidP="00D259D4">
      <w:pPr>
        <w:pStyle w:val="BodyText"/>
        <w:spacing w:line="250" w:lineRule="auto"/>
        <w:ind w:left="0" w:right="110" w:firstLine="0"/>
        <w:jc w:val="both"/>
        <w:rPr>
          <w:rFonts w:ascii="Corbel" w:hAnsi="Corbel" w:cs="Times New Roman"/>
          <w:b/>
          <w:w w:val="105"/>
          <w:sz w:val="24"/>
          <w:szCs w:val="24"/>
          <w:lang w:val="fr-CA"/>
        </w:rPr>
      </w:pPr>
      <w:r w:rsidRPr="00D259D4">
        <w:rPr>
          <w:rFonts w:ascii="Corbel" w:hAnsi="Corbel" w:cs="Times New Roman"/>
          <w:b/>
          <w:w w:val="105"/>
          <w:sz w:val="24"/>
          <w:szCs w:val="24"/>
          <w:lang w:val="fr-CA"/>
        </w:rPr>
        <w:t>Politique</w:t>
      </w:r>
    </w:p>
    <w:p w:rsidR="00D259D4" w:rsidRPr="00D259D4" w:rsidRDefault="00D259D4" w:rsidP="001C7FA5">
      <w:pPr>
        <w:pStyle w:val="BodyText"/>
        <w:spacing w:line="250" w:lineRule="auto"/>
        <w:ind w:left="100" w:right="110" w:firstLine="0"/>
        <w:jc w:val="both"/>
        <w:rPr>
          <w:rFonts w:ascii="Corbel" w:hAnsi="Corbel" w:cs="Times New Roman"/>
          <w:w w:val="105"/>
          <w:sz w:val="24"/>
          <w:szCs w:val="24"/>
          <w:lang w:val="fr-CA"/>
        </w:rPr>
      </w:pPr>
    </w:p>
    <w:p w:rsidR="00D259D4" w:rsidRPr="00D259D4" w:rsidRDefault="00D259D4" w:rsidP="00D259D4">
      <w:pPr>
        <w:rPr>
          <w:rFonts w:ascii="Corbel" w:hAnsi="Corbel"/>
          <w:sz w:val="24"/>
          <w:szCs w:val="24"/>
          <w:lang w:val="fr-CA"/>
        </w:rPr>
      </w:pPr>
      <w:r>
        <w:rPr>
          <w:rFonts w:ascii="Corbel" w:hAnsi="Corbel"/>
          <w:sz w:val="24"/>
          <w:szCs w:val="24"/>
          <w:lang w:val="fr-CA"/>
        </w:rPr>
        <w:t>Les fichiers de clients</w:t>
      </w:r>
      <w:r w:rsidRPr="00D259D4">
        <w:rPr>
          <w:rFonts w:ascii="Corbel" w:hAnsi="Corbel"/>
          <w:sz w:val="24"/>
          <w:szCs w:val="24"/>
          <w:lang w:val="fr-CA"/>
        </w:rPr>
        <w:t xml:space="preserve"> sont la propriété du CAH, et les documents contenus dans ces fichiers constituent l'historique </w:t>
      </w:r>
      <w:r>
        <w:rPr>
          <w:rFonts w:ascii="Corbel" w:hAnsi="Corbel"/>
          <w:sz w:val="24"/>
          <w:szCs w:val="24"/>
          <w:lang w:val="fr-CA"/>
        </w:rPr>
        <w:t>et les</w:t>
      </w:r>
      <w:r w:rsidRPr="00D259D4">
        <w:rPr>
          <w:rFonts w:ascii="Corbel" w:hAnsi="Corbel"/>
          <w:sz w:val="24"/>
          <w:szCs w:val="24"/>
          <w:lang w:val="fr-CA"/>
        </w:rPr>
        <w:t xml:space="preserve"> antécédents </w:t>
      </w:r>
      <w:r>
        <w:rPr>
          <w:rFonts w:ascii="Corbel" w:hAnsi="Corbel"/>
          <w:sz w:val="24"/>
          <w:szCs w:val="24"/>
          <w:lang w:val="fr-CA"/>
        </w:rPr>
        <w:t>du client</w:t>
      </w:r>
      <w:r w:rsidRPr="00D259D4">
        <w:rPr>
          <w:rFonts w:ascii="Corbel" w:hAnsi="Corbel"/>
          <w:sz w:val="24"/>
          <w:szCs w:val="24"/>
          <w:lang w:val="fr-CA"/>
        </w:rPr>
        <w:t xml:space="preserve"> au CAH. Cependant CAH reconnaît les droits d'un individu à sa vie privée. </w:t>
      </w:r>
      <w:r>
        <w:rPr>
          <w:rFonts w:ascii="Corbel" w:hAnsi="Corbel"/>
          <w:sz w:val="24"/>
          <w:szCs w:val="24"/>
          <w:lang w:val="fr-CA"/>
        </w:rPr>
        <w:t>Les informations sur les renseignements personnels et les renseignements personnels sur la santé sont considérée</w:t>
      </w:r>
      <w:r w:rsidRPr="00D259D4">
        <w:rPr>
          <w:rFonts w:ascii="Corbel" w:hAnsi="Corbel"/>
          <w:sz w:val="24"/>
          <w:szCs w:val="24"/>
          <w:lang w:val="fr-CA"/>
        </w:rPr>
        <w:t>s comme confidentielles et ne seront pas divulguées à des organ</w:t>
      </w:r>
      <w:r>
        <w:rPr>
          <w:rFonts w:ascii="Corbel" w:hAnsi="Corbel"/>
          <w:sz w:val="24"/>
          <w:szCs w:val="24"/>
          <w:lang w:val="fr-CA"/>
        </w:rPr>
        <w:t xml:space="preserve">isations externes à moins que le client </w:t>
      </w:r>
      <w:r w:rsidRPr="00D259D4">
        <w:rPr>
          <w:rFonts w:ascii="Corbel" w:hAnsi="Corbel"/>
          <w:sz w:val="24"/>
          <w:szCs w:val="24"/>
          <w:lang w:val="fr-CA"/>
        </w:rPr>
        <w:t>ait fourni une demande écrite pour la divulgation de renseignements spécifiques.</w:t>
      </w:r>
    </w:p>
    <w:p w:rsidR="00C84546" w:rsidRPr="00D259D4" w:rsidRDefault="00C84546" w:rsidP="00D259D4">
      <w:pPr>
        <w:pStyle w:val="BodyText"/>
        <w:spacing w:line="250" w:lineRule="auto"/>
        <w:ind w:left="0" w:right="110" w:firstLine="0"/>
        <w:jc w:val="both"/>
        <w:rPr>
          <w:rFonts w:ascii="Corbel" w:hAnsi="Corbel" w:cs="Times New Roman"/>
          <w:b/>
          <w:w w:val="105"/>
          <w:sz w:val="24"/>
          <w:szCs w:val="24"/>
          <w:lang w:val="fr-CA"/>
        </w:rPr>
      </w:pPr>
    </w:p>
    <w:p w:rsidR="00C84546" w:rsidRPr="00D259D4" w:rsidRDefault="00D259D4" w:rsidP="00D259D4">
      <w:pPr>
        <w:pStyle w:val="BodyText"/>
        <w:spacing w:line="250" w:lineRule="auto"/>
        <w:ind w:left="0" w:right="110" w:firstLine="0"/>
        <w:jc w:val="both"/>
        <w:rPr>
          <w:rFonts w:ascii="Corbel" w:hAnsi="Corbel" w:cs="Times New Roman"/>
          <w:b/>
          <w:w w:val="105"/>
          <w:sz w:val="24"/>
          <w:szCs w:val="24"/>
          <w:lang w:val="fr-CA"/>
        </w:rPr>
      </w:pPr>
      <w:r w:rsidRPr="00D259D4">
        <w:rPr>
          <w:rFonts w:ascii="Corbel" w:hAnsi="Corbel" w:cs="Times New Roman"/>
          <w:b/>
          <w:w w:val="105"/>
          <w:sz w:val="24"/>
          <w:szCs w:val="24"/>
          <w:lang w:val="fr-CA"/>
        </w:rPr>
        <w:t>Procédures</w:t>
      </w:r>
    </w:p>
    <w:p w:rsidR="00C84546" w:rsidRPr="00D259D4" w:rsidRDefault="00C84546" w:rsidP="00C84546">
      <w:pPr>
        <w:pStyle w:val="Heading1"/>
        <w:tabs>
          <w:tab w:val="left" w:pos="599"/>
        </w:tabs>
        <w:ind w:hanging="598"/>
        <w:rPr>
          <w:rFonts w:ascii="Corbel" w:hAnsi="Corbel" w:cs="Times New Roman"/>
          <w:w w:val="105"/>
          <w:sz w:val="24"/>
          <w:szCs w:val="24"/>
          <w:lang w:val="fr-CA"/>
        </w:rPr>
      </w:pPr>
    </w:p>
    <w:p w:rsidR="00C84546" w:rsidRDefault="00C84546"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259D4">
        <w:rPr>
          <w:rFonts w:ascii="Corbel" w:hAnsi="Corbel" w:cs="Times New Roman"/>
          <w:w w:val="105"/>
          <w:sz w:val="24"/>
          <w:szCs w:val="24"/>
          <w:lang w:val="fr-CA"/>
        </w:rPr>
        <w:t>Le dossier</w:t>
      </w:r>
      <w:r w:rsidR="00D1651C">
        <w:rPr>
          <w:rFonts w:ascii="Corbel" w:hAnsi="Corbel" w:cs="Times New Roman"/>
          <w:w w:val="105"/>
          <w:sz w:val="24"/>
          <w:szCs w:val="24"/>
          <w:lang w:val="fr-CA"/>
        </w:rPr>
        <w:t xml:space="preserve"> (en partie en papier et en partie électronique)</w:t>
      </w:r>
      <w:r w:rsidRPr="00D259D4">
        <w:rPr>
          <w:rFonts w:ascii="Corbel" w:hAnsi="Corbel" w:cs="Times New Roman"/>
          <w:w w:val="105"/>
          <w:sz w:val="24"/>
          <w:szCs w:val="24"/>
          <w:lang w:val="fr-CA"/>
        </w:rPr>
        <w:t xml:space="preserve"> est créé par la gestion de cas au cours des 3 premiers jours suivant l’admission au service.</w:t>
      </w:r>
    </w:p>
    <w:p w:rsidR="00D259D4" w:rsidRDefault="00D259D4" w:rsidP="00D259D4">
      <w:pPr>
        <w:pStyle w:val="BodyText"/>
        <w:spacing w:line="248" w:lineRule="auto"/>
        <w:ind w:left="426" w:right="116" w:firstLine="0"/>
        <w:jc w:val="both"/>
        <w:rPr>
          <w:rFonts w:ascii="Corbel" w:hAnsi="Corbel" w:cs="Times New Roman"/>
          <w:w w:val="105"/>
          <w:sz w:val="24"/>
          <w:szCs w:val="24"/>
          <w:lang w:val="fr-CA"/>
        </w:rPr>
      </w:pPr>
    </w:p>
    <w:p w:rsidR="00D1651C" w:rsidRDefault="00D259D4"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Pr>
          <w:rFonts w:ascii="Corbel" w:hAnsi="Corbel" w:cs="Times New Roman"/>
          <w:w w:val="105"/>
          <w:sz w:val="24"/>
          <w:szCs w:val="24"/>
          <w:lang w:val="fr-CA"/>
        </w:rPr>
        <w:t xml:space="preserve">Le contenu d’un fichier client est constaté dans </w:t>
      </w:r>
      <w:r w:rsidR="004C5C0E">
        <w:rPr>
          <w:rFonts w:ascii="Corbel" w:hAnsi="Corbel" w:cs="Times New Roman"/>
          <w:w w:val="105"/>
          <w:sz w:val="24"/>
          <w:szCs w:val="24"/>
          <w:lang w:val="fr-CA"/>
        </w:rPr>
        <w:t>PROG-000-07</w:t>
      </w:r>
      <w:r w:rsidRPr="00D259D4">
        <w:rPr>
          <w:rFonts w:ascii="Corbel" w:hAnsi="Corbel" w:cs="Times New Roman"/>
          <w:w w:val="105"/>
          <w:sz w:val="24"/>
          <w:szCs w:val="24"/>
          <w:lang w:val="fr-CA"/>
        </w:rPr>
        <w:t xml:space="preserve"> Dossiers clients</w:t>
      </w:r>
      <w:r>
        <w:rPr>
          <w:rFonts w:ascii="Corbel" w:hAnsi="Corbel" w:cs="Times New Roman"/>
          <w:w w:val="105"/>
          <w:sz w:val="24"/>
          <w:szCs w:val="24"/>
          <w:lang w:val="fr-CA"/>
        </w:rPr>
        <w:t>.</w:t>
      </w:r>
    </w:p>
    <w:p w:rsidR="00D1651C" w:rsidRDefault="00D1651C" w:rsidP="00D1651C">
      <w:pPr>
        <w:rPr>
          <w:rFonts w:ascii="Corbel" w:hAnsi="Corbel"/>
          <w:i/>
          <w:sz w:val="24"/>
          <w:szCs w:val="24"/>
          <w:lang w:val="fr-CA"/>
        </w:rPr>
      </w:pPr>
    </w:p>
    <w:p w:rsidR="00D1651C" w:rsidRPr="00D1651C" w:rsidRDefault="00D1651C" w:rsidP="00D1651C">
      <w:pPr>
        <w:rPr>
          <w:rFonts w:ascii="Corbel" w:hAnsi="Corbel"/>
          <w:i/>
          <w:sz w:val="24"/>
          <w:szCs w:val="24"/>
          <w:lang w:val="fr-CA"/>
        </w:rPr>
      </w:pPr>
      <w:r w:rsidRPr="00B636D5">
        <w:rPr>
          <w:rFonts w:ascii="Corbel" w:hAnsi="Corbel"/>
          <w:i/>
          <w:sz w:val="24"/>
          <w:szCs w:val="24"/>
          <w:lang w:val="fr-CA"/>
        </w:rPr>
        <w:t>Confide</w:t>
      </w:r>
      <w:r>
        <w:rPr>
          <w:rFonts w:ascii="Corbel" w:hAnsi="Corbel"/>
          <w:i/>
          <w:sz w:val="24"/>
          <w:szCs w:val="24"/>
          <w:lang w:val="fr-CA"/>
        </w:rPr>
        <w:t>ntialité des dossiers clients</w:t>
      </w:r>
    </w:p>
    <w:p w:rsidR="00D1651C" w:rsidRPr="00D1651C"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1651C">
        <w:rPr>
          <w:rFonts w:ascii="Corbel" w:hAnsi="Corbel" w:cs="Times New Roman"/>
          <w:w w:val="105"/>
          <w:sz w:val="24"/>
          <w:szCs w:val="24"/>
          <w:lang w:val="fr-CA"/>
        </w:rPr>
        <w:t xml:space="preserve">Les </w:t>
      </w:r>
      <w:r w:rsidR="00C84546" w:rsidRPr="00D1651C">
        <w:rPr>
          <w:rFonts w:ascii="Corbel" w:hAnsi="Corbel" w:cs="Times New Roman"/>
          <w:w w:val="105"/>
          <w:sz w:val="24"/>
          <w:szCs w:val="24"/>
          <w:lang w:val="fr-CA"/>
        </w:rPr>
        <w:t xml:space="preserve">dossiers papier des clients </w:t>
      </w:r>
      <w:r w:rsidRPr="00D1651C">
        <w:rPr>
          <w:rFonts w:ascii="Corbel" w:hAnsi="Corbel" w:cs="Times New Roman"/>
          <w:w w:val="105"/>
          <w:sz w:val="24"/>
          <w:szCs w:val="24"/>
          <w:lang w:val="fr-CA"/>
        </w:rPr>
        <w:t>sont</w:t>
      </w:r>
      <w:r w:rsidR="00C84546" w:rsidRPr="00D1651C">
        <w:rPr>
          <w:rFonts w:ascii="Corbel" w:hAnsi="Corbel" w:cs="Times New Roman"/>
          <w:w w:val="105"/>
          <w:sz w:val="24"/>
          <w:szCs w:val="24"/>
          <w:lang w:val="fr-CA"/>
        </w:rPr>
        <w:t xml:space="preserve"> gardés sous clé en tout temps. Le classeur qui contient les dossiers client doit être situé dans un endroit où le public n’a pas accès. L’accès aux dossiers client est limité au personnel et aux gestionnaires.</w:t>
      </w:r>
      <w:r w:rsidRPr="00D1651C">
        <w:rPr>
          <w:rFonts w:ascii="Corbel" w:hAnsi="Corbel" w:cs="Times New Roman"/>
          <w:w w:val="105"/>
          <w:sz w:val="24"/>
          <w:szCs w:val="24"/>
          <w:lang w:val="fr-CA"/>
        </w:rPr>
        <w:t xml:space="preserve"> </w:t>
      </w:r>
    </w:p>
    <w:p w:rsidR="00D1651C" w:rsidRDefault="00D1651C" w:rsidP="00D1651C">
      <w:pPr>
        <w:pStyle w:val="BodyText"/>
        <w:spacing w:line="248" w:lineRule="auto"/>
        <w:ind w:left="426" w:right="116" w:firstLine="0"/>
        <w:jc w:val="both"/>
        <w:rPr>
          <w:rFonts w:ascii="Corbel" w:hAnsi="Corbel" w:cs="Times New Roman"/>
          <w:w w:val="105"/>
          <w:sz w:val="24"/>
          <w:szCs w:val="24"/>
          <w:lang w:val="fr-CA"/>
        </w:rPr>
      </w:pPr>
    </w:p>
    <w:p w:rsidR="00D1651C"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1651C">
        <w:rPr>
          <w:rFonts w:ascii="Corbel" w:hAnsi="Corbel" w:cs="Times New Roman"/>
          <w:w w:val="105"/>
          <w:sz w:val="24"/>
          <w:szCs w:val="24"/>
          <w:lang w:val="fr-CA"/>
        </w:rPr>
        <w:t xml:space="preserve">Les </w:t>
      </w:r>
      <w:r>
        <w:rPr>
          <w:rFonts w:ascii="Corbel" w:hAnsi="Corbel" w:cs="Times New Roman"/>
          <w:w w:val="105"/>
          <w:sz w:val="24"/>
          <w:szCs w:val="24"/>
          <w:lang w:val="fr-CA"/>
        </w:rPr>
        <w:t>fichiers électronique</w:t>
      </w:r>
      <w:r w:rsidR="004C5C0E">
        <w:rPr>
          <w:rFonts w:ascii="Corbel" w:hAnsi="Corbel" w:cs="Times New Roman"/>
          <w:w w:val="105"/>
          <w:sz w:val="24"/>
          <w:szCs w:val="24"/>
          <w:lang w:val="fr-CA"/>
        </w:rPr>
        <w:t>s</w:t>
      </w:r>
      <w:r w:rsidRPr="00D1651C">
        <w:rPr>
          <w:rFonts w:ascii="Corbel" w:hAnsi="Corbel" w:cs="Times New Roman"/>
          <w:w w:val="105"/>
          <w:sz w:val="24"/>
          <w:szCs w:val="24"/>
          <w:lang w:val="fr-CA"/>
        </w:rPr>
        <w:t xml:space="preserve"> du système de gestion de données (TREAT) sont </w:t>
      </w:r>
      <w:r w:rsidRPr="00D1651C">
        <w:rPr>
          <w:rFonts w:ascii="Corbel" w:hAnsi="Corbel" w:cs="Times New Roman"/>
          <w:w w:val="105"/>
          <w:sz w:val="24"/>
          <w:szCs w:val="24"/>
          <w:lang w:val="fr-CA"/>
        </w:rPr>
        <w:lastRenderedPageBreak/>
        <w:t xml:space="preserve">configurés de manière à ce que seuls les membres du personnel rattachés aux centres fonctionnels dans lesquels le client est enregistré aient accès aux données du client. Le personnel de gestion avec un profil d'administrateur, y compris la gestion, sont des exceptions et ont accès à tous les fichiers clients électroniques. </w:t>
      </w:r>
    </w:p>
    <w:p w:rsidR="00D1651C" w:rsidRDefault="00D1651C" w:rsidP="00D1651C">
      <w:pPr>
        <w:pStyle w:val="BodyText"/>
        <w:spacing w:line="248" w:lineRule="auto"/>
        <w:ind w:left="426" w:right="116" w:firstLine="0"/>
        <w:jc w:val="both"/>
        <w:rPr>
          <w:rFonts w:ascii="Corbel" w:hAnsi="Corbel" w:cs="Times New Roman"/>
          <w:w w:val="105"/>
          <w:sz w:val="24"/>
          <w:szCs w:val="24"/>
          <w:lang w:val="fr-CA"/>
        </w:rPr>
      </w:pPr>
    </w:p>
    <w:p w:rsidR="00FE0201" w:rsidRPr="00FE0201"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259D4">
        <w:rPr>
          <w:rFonts w:ascii="Corbel" w:hAnsi="Corbel" w:cs="Times New Roman"/>
          <w:w w:val="105"/>
          <w:sz w:val="24"/>
          <w:szCs w:val="24"/>
          <w:lang w:val="fr-CA"/>
        </w:rPr>
        <w:t xml:space="preserve">Tout vol, perte et violation des renseignements sur le client doit être signalé immédiatement au responsable de la protection de la vie privée qui remplit </w:t>
      </w:r>
      <w:r w:rsidR="005E19C7">
        <w:rPr>
          <w:rFonts w:ascii="Corbel" w:hAnsi="Corbel" w:cs="Times New Roman"/>
          <w:w w:val="105"/>
          <w:sz w:val="24"/>
          <w:szCs w:val="24"/>
          <w:lang w:val="fr-CA"/>
        </w:rPr>
        <w:t>un rapport d'incident (voir DIR-Risque-005)</w:t>
      </w:r>
      <w:r w:rsidRPr="00D259D4">
        <w:rPr>
          <w:rFonts w:ascii="Corbel" w:hAnsi="Corbel" w:cs="Times New Roman"/>
          <w:w w:val="105"/>
          <w:sz w:val="24"/>
          <w:szCs w:val="24"/>
          <w:lang w:val="fr-CA"/>
        </w:rPr>
        <w:t>.</w:t>
      </w:r>
    </w:p>
    <w:p w:rsidR="00FE0201" w:rsidRDefault="00FE0201" w:rsidP="00FE0201">
      <w:pPr>
        <w:pStyle w:val="BodyText"/>
        <w:spacing w:line="252" w:lineRule="auto"/>
        <w:ind w:left="426" w:right="105" w:firstLine="0"/>
        <w:rPr>
          <w:rFonts w:ascii="Corbel" w:hAnsi="Corbel" w:cs="Times New Roman"/>
          <w:w w:val="105"/>
          <w:sz w:val="24"/>
          <w:szCs w:val="24"/>
          <w:lang w:val="fr-CA"/>
        </w:rPr>
      </w:pPr>
    </w:p>
    <w:p w:rsidR="00FE0201" w:rsidRPr="0061004C" w:rsidRDefault="00FE0201" w:rsidP="00FE0201">
      <w:pPr>
        <w:pStyle w:val="BodyText"/>
        <w:numPr>
          <w:ilvl w:val="0"/>
          <w:numId w:val="6"/>
        </w:numPr>
        <w:spacing w:line="252" w:lineRule="auto"/>
        <w:ind w:left="426" w:right="105" w:hanging="426"/>
        <w:rPr>
          <w:rFonts w:ascii="Corbel" w:hAnsi="Corbel" w:cs="Times New Roman"/>
          <w:w w:val="105"/>
          <w:sz w:val="24"/>
          <w:szCs w:val="24"/>
          <w:lang w:val="fr-CA"/>
        </w:rPr>
      </w:pPr>
      <w:r w:rsidRPr="0061004C">
        <w:rPr>
          <w:rFonts w:ascii="Corbel" w:hAnsi="Corbel" w:cs="Times New Roman"/>
          <w:w w:val="105"/>
          <w:sz w:val="24"/>
          <w:szCs w:val="24"/>
          <w:lang w:val="fr-CA"/>
        </w:rPr>
        <w:t>Le responsable de la protection de la vie privée prend des mesures appropriées pour s’assurer que le consentement verbal ou écrit implicite ou exprès est inscrit dans le système de gestion des données (TREAT) du client pour les évaluations.</w:t>
      </w:r>
    </w:p>
    <w:p w:rsidR="00FE0201" w:rsidRPr="0061004C" w:rsidRDefault="00FE0201" w:rsidP="00FE0201">
      <w:pPr>
        <w:pStyle w:val="BodyText"/>
        <w:spacing w:line="252" w:lineRule="auto"/>
        <w:ind w:left="426" w:right="105" w:firstLine="0"/>
        <w:rPr>
          <w:rFonts w:ascii="Corbel" w:hAnsi="Corbel" w:cs="Times New Roman"/>
          <w:w w:val="105"/>
          <w:sz w:val="24"/>
          <w:szCs w:val="24"/>
          <w:lang w:val="fr-CA"/>
        </w:rPr>
      </w:pPr>
    </w:p>
    <w:p w:rsidR="00FE0201" w:rsidRPr="0061004C" w:rsidRDefault="00FE0201" w:rsidP="00FE0201">
      <w:pPr>
        <w:pStyle w:val="BodyText"/>
        <w:numPr>
          <w:ilvl w:val="0"/>
          <w:numId w:val="6"/>
        </w:numPr>
        <w:spacing w:before="6" w:line="252" w:lineRule="auto"/>
        <w:ind w:left="426" w:right="105" w:hanging="426"/>
        <w:rPr>
          <w:rFonts w:ascii="Corbel" w:hAnsi="Corbel" w:cs="Times New Roman"/>
          <w:w w:val="105"/>
          <w:sz w:val="24"/>
          <w:szCs w:val="24"/>
          <w:lang w:val="fr-CA"/>
        </w:rPr>
      </w:pPr>
      <w:r w:rsidRPr="0061004C">
        <w:rPr>
          <w:rFonts w:ascii="Corbel" w:hAnsi="Corbel" w:cs="Times New Roman"/>
          <w:w w:val="105"/>
          <w:sz w:val="24"/>
          <w:szCs w:val="24"/>
          <w:lang w:val="fr-CA"/>
        </w:rPr>
        <w:t xml:space="preserve">Le responsable de la protection de la vie privée de l'organisation ou son délégué est responsable de vérifier annuellement que le consentement est correctement géré dans les dossiers papier et dans le système électronique (vérification du </w:t>
      </w:r>
      <w:r w:rsidR="005E19C7">
        <w:rPr>
          <w:rFonts w:ascii="Corbel" w:hAnsi="Corbel" w:cs="Times New Roman"/>
          <w:w w:val="105"/>
          <w:sz w:val="24"/>
          <w:szCs w:val="24"/>
          <w:lang w:val="fr-CA"/>
        </w:rPr>
        <w:t>DÉI/</w:t>
      </w:r>
      <w:r w:rsidRPr="0061004C">
        <w:rPr>
          <w:rFonts w:ascii="Corbel" w:hAnsi="Corbel" w:cs="Times New Roman"/>
          <w:w w:val="105"/>
          <w:sz w:val="24"/>
          <w:szCs w:val="24"/>
          <w:lang w:val="fr-CA"/>
        </w:rPr>
        <w:t>IAR).</w:t>
      </w:r>
    </w:p>
    <w:p w:rsidR="00D1651C" w:rsidRDefault="00D1651C" w:rsidP="00D1651C">
      <w:pPr>
        <w:pStyle w:val="BodyText"/>
        <w:spacing w:line="248" w:lineRule="auto"/>
        <w:ind w:left="0" w:right="116" w:firstLine="0"/>
        <w:jc w:val="both"/>
        <w:rPr>
          <w:rFonts w:ascii="Corbel" w:eastAsia="Times New Roman" w:hAnsi="Corbel" w:cs="Times New Roman"/>
          <w:sz w:val="24"/>
          <w:szCs w:val="24"/>
          <w:lang w:val="fr-CA"/>
        </w:rPr>
      </w:pPr>
    </w:p>
    <w:p w:rsidR="00FE0201" w:rsidRDefault="00FE0201" w:rsidP="00D1651C">
      <w:pPr>
        <w:pStyle w:val="BodyText"/>
        <w:spacing w:line="248" w:lineRule="auto"/>
        <w:ind w:left="0" w:right="116" w:firstLine="0"/>
        <w:jc w:val="both"/>
        <w:rPr>
          <w:rFonts w:ascii="Corbel" w:hAnsi="Corbel" w:cs="Times New Roman"/>
          <w:w w:val="105"/>
          <w:sz w:val="24"/>
          <w:szCs w:val="24"/>
          <w:lang w:val="fr-CA"/>
        </w:rPr>
      </w:pPr>
    </w:p>
    <w:p w:rsidR="00C84546" w:rsidRPr="00D1651C" w:rsidRDefault="00D1651C" w:rsidP="00D1651C">
      <w:pPr>
        <w:pStyle w:val="BodyText"/>
        <w:spacing w:line="248" w:lineRule="auto"/>
        <w:ind w:left="0" w:right="116" w:firstLine="0"/>
        <w:jc w:val="both"/>
        <w:rPr>
          <w:rFonts w:ascii="Corbel" w:hAnsi="Corbel" w:cs="Times New Roman"/>
          <w:i/>
          <w:w w:val="105"/>
          <w:sz w:val="24"/>
          <w:szCs w:val="24"/>
          <w:lang w:val="fr-CA"/>
        </w:rPr>
      </w:pPr>
      <w:r w:rsidRPr="00D1651C">
        <w:rPr>
          <w:rFonts w:ascii="Corbel" w:hAnsi="Corbel" w:cs="Times New Roman"/>
          <w:i/>
          <w:w w:val="105"/>
          <w:sz w:val="24"/>
          <w:szCs w:val="24"/>
          <w:lang w:val="fr-CA"/>
        </w:rPr>
        <w:t>Conservation et destruction de fichiers clients</w:t>
      </w:r>
    </w:p>
    <w:p w:rsidR="00D1651C" w:rsidRPr="00D1651C" w:rsidRDefault="00D1651C" w:rsidP="00D1651C">
      <w:pPr>
        <w:pStyle w:val="BodyText"/>
        <w:spacing w:line="248" w:lineRule="auto"/>
        <w:ind w:left="0" w:right="116" w:firstLine="0"/>
        <w:jc w:val="both"/>
        <w:rPr>
          <w:rFonts w:ascii="Corbel" w:hAnsi="Corbel" w:cs="Times New Roman"/>
          <w:w w:val="105"/>
          <w:sz w:val="24"/>
          <w:szCs w:val="24"/>
          <w:lang w:val="fr-CA"/>
        </w:rPr>
      </w:pPr>
    </w:p>
    <w:p w:rsidR="00D1651C" w:rsidRDefault="00C84546"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259D4">
        <w:rPr>
          <w:rFonts w:ascii="Corbel" w:hAnsi="Corbel" w:cs="Times New Roman"/>
          <w:w w:val="105"/>
          <w:sz w:val="24"/>
          <w:szCs w:val="24"/>
          <w:lang w:val="fr-CA"/>
        </w:rPr>
        <w:t xml:space="preserve">Les dossiers des clients sont conservés pendant dix ans, après quoi les documents sont détruits au moyen d'une déchiqueteuse. </w:t>
      </w:r>
    </w:p>
    <w:p w:rsidR="00D1651C" w:rsidRDefault="00D1651C" w:rsidP="00D1651C">
      <w:pPr>
        <w:pStyle w:val="BodyText"/>
        <w:spacing w:line="248" w:lineRule="auto"/>
        <w:ind w:left="0" w:right="116" w:firstLine="0"/>
        <w:jc w:val="both"/>
        <w:rPr>
          <w:rFonts w:ascii="Corbel" w:hAnsi="Corbel" w:cs="Times New Roman"/>
          <w:w w:val="105"/>
          <w:sz w:val="24"/>
          <w:szCs w:val="24"/>
          <w:lang w:val="fr-CA"/>
        </w:rPr>
      </w:pPr>
    </w:p>
    <w:p w:rsidR="00D1651C"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1651C">
        <w:rPr>
          <w:rFonts w:ascii="Corbel" w:hAnsi="Corbel" w:cs="Times New Roman"/>
          <w:w w:val="105"/>
          <w:sz w:val="24"/>
          <w:szCs w:val="24"/>
          <w:lang w:val="fr-CA"/>
        </w:rPr>
        <w:t>La procédure de fermeture du dossier client électronique est déterminée par le système de gestion de données (TREAT).</w:t>
      </w:r>
    </w:p>
    <w:p w:rsidR="00D1651C" w:rsidRDefault="00D1651C" w:rsidP="00D1651C">
      <w:pPr>
        <w:pStyle w:val="BodyText"/>
        <w:spacing w:line="248" w:lineRule="auto"/>
        <w:ind w:left="426" w:right="116" w:firstLine="0"/>
        <w:jc w:val="both"/>
        <w:rPr>
          <w:rFonts w:ascii="Corbel" w:hAnsi="Corbel" w:cs="Times New Roman"/>
          <w:w w:val="105"/>
          <w:sz w:val="24"/>
          <w:szCs w:val="24"/>
          <w:lang w:val="fr-CA"/>
        </w:rPr>
      </w:pPr>
    </w:p>
    <w:p w:rsidR="00D1651C" w:rsidRPr="00D1651C"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1651C">
        <w:rPr>
          <w:rFonts w:ascii="Corbel" w:hAnsi="Corbel" w:cs="Times New Roman"/>
          <w:w w:val="105"/>
          <w:sz w:val="24"/>
          <w:szCs w:val="24"/>
          <w:lang w:val="fr-CA"/>
        </w:rPr>
        <w:t>Lorsque le fichier du client est fermé, la gestion des cas écrit "fermé" sur le fichier physique et place dans le dossier de l'année que le fichier doit être déchiqueté. Les dossiers sont conservés dans une salle prévue pour l'archivage des fichiers confidentiels jusqu'à ce que le fichier soit déchiqueté.</w:t>
      </w:r>
    </w:p>
    <w:p w:rsidR="00D1651C" w:rsidRPr="00D1651C" w:rsidRDefault="00D1651C" w:rsidP="00D1651C">
      <w:pPr>
        <w:pStyle w:val="BodyText"/>
        <w:spacing w:line="248" w:lineRule="auto"/>
        <w:ind w:left="426" w:right="116" w:firstLine="0"/>
        <w:jc w:val="both"/>
        <w:rPr>
          <w:rFonts w:ascii="Corbel" w:hAnsi="Corbel" w:cs="Times New Roman"/>
          <w:w w:val="105"/>
          <w:sz w:val="24"/>
          <w:szCs w:val="24"/>
          <w:lang w:val="fr-CA"/>
        </w:rPr>
      </w:pPr>
    </w:p>
    <w:p w:rsidR="00D1651C" w:rsidRPr="00D1651C"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1651C">
        <w:rPr>
          <w:rFonts w:ascii="Corbel" w:hAnsi="Corbel" w:cs="Times New Roman"/>
          <w:w w:val="105"/>
          <w:sz w:val="24"/>
          <w:szCs w:val="24"/>
          <w:lang w:val="fr-CA"/>
        </w:rPr>
        <w:t>Les gestionnaires de cas sont responsables d’inscrire la date de fermeture du dossier et de compléter le processus d’archivage du dossier client électronique.</w:t>
      </w:r>
    </w:p>
    <w:p w:rsidR="00D1651C" w:rsidRPr="00D1651C" w:rsidRDefault="00D1651C" w:rsidP="00D1651C">
      <w:pPr>
        <w:pStyle w:val="BodyText"/>
        <w:spacing w:line="248" w:lineRule="auto"/>
        <w:ind w:left="426" w:right="116" w:firstLine="0"/>
        <w:jc w:val="both"/>
        <w:rPr>
          <w:rFonts w:ascii="Corbel" w:hAnsi="Corbel" w:cs="Times New Roman"/>
          <w:w w:val="105"/>
          <w:sz w:val="24"/>
          <w:szCs w:val="24"/>
          <w:lang w:val="fr-CA"/>
        </w:rPr>
      </w:pPr>
    </w:p>
    <w:p w:rsidR="00D1651C" w:rsidRPr="00D1651C"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1651C">
        <w:rPr>
          <w:rFonts w:ascii="Corbel" w:hAnsi="Corbel" w:cs="Times New Roman"/>
          <w:w w:val="105"/>
          <w:sz w:val="24"/>
          <w:szCs w:val="24"/>
          <w:lang w:val="fr-CA"/>
        </w:rPr>
        <w:t>Les gestionnaires de cas sont responsables de tenir à jour le Registr</w:t>
      </w:r>
      <w:r w:rsidR="005E19C7">
        <w:rPr>
          <w:rFonts w:ascii="Corbel" w:hAnsi="Corbel" w:cs="Times New Roman"/>
          <w:w w:val="105"/>
          <w:sz w:val="24"/>
          <w:szCs w:val="24"/>
          <w:lang w:val="fr-CA"/>
        </w:rPr>
        <w:t>e des dossiers client archivés électroniques.</w:t>
      </w:r>
    </w:p>
    <w:p w:rsidR="00D1651C" w:rsidRPr="00D1651C" w:rsidRDefault="00D1651C" w:rsidP="00D1651C">
      <w:pPr>
        <w:pStyle w:val="BodyText"/>
        <w:spacing w:line="248" w:lineRule="auto"/>
        <w:ind w:left="426" w:right="116" w:firstLine="0"/>
        <w:jc w:val="both"/>
        <w:rPr>
          <w:rFonts w:ascii="Corbel" w:hAnsi="Corbel" w:cs="Times New Roman"/>
          <w:w w:val="105"/>
          <w:sz w:val="24"/>
          <w:szCs w:val="24"/>
          <w:lang w:val="fr-CA"/>
        </w:rPr>
      </w:pPr>
    </w:p>
    <w:p w:rsidR="00D1651C" w:rsidRDefault="00D1651C" w:rsidP="00FE0201">
      <w:pPr>
        <w:pStyle w:val="BodyText"/>
        <w:numPr>
          <w:ilvl w:val="0"/>
          <w:numId w:val="6"/>
        </w:numPr>
        <w:spacing w:line="248" w:lineRule="auto"/>
        <w:ind w:left="426" w:right="116" w:hanging="426"/>
        <w:jc w:val="both"/>
        <w:rPr>
          <w:rFonts w:ascii="Corbel" w:hAnsi="Corbel" w:cs="Times New Roman"/>
          <w:w w:val="105"/>
          <w:sz w:val="24"/>
          <w:szCs w:val="24"/>
          <w:lang w:val="fr-CA"/>
        </w:rPr>
      </w:pPr>
      <w:r w:rsidRPr="00D1651C">
        <w:rPr>
          <w:rFonts w:ascii="Corbel" w:hAnsi="Corbel" w:cs="Times New Roman"/>
          <w:w w:val="105"/>
          <w:sz w:val="24"/>
          <w:szCs w:val="24"/>
          <w:lang w:val="fr-CA"/>
        </w:rPr>
        <w:t>Les dossiers archivés sont gardés sous clé pendant dix ans, après quoi l’administration détruit les dossiers au moyen d’une déchiqueteuse ou en ayant recours aux services d’une compagnie reconnue pour la destruction sécuritaire des documents confidentiels.</w:t>
      </w:r>
    </w:p>
    <w:p w:rsidR="00D1651C" w:rsidRDefault="00D1651C" w:rsidP="00D1651C">
      <w:pPr>
        <w:pStyle w:val="BodyText"/>
        <w:spacing w:line="248" w:lineRule="auto"/>
        <w:ind w:left="426" w:right="116" w:firstLine="0"/>
        <w:jc w:val="both"/>
        <w:rPr>
          <w:rFonts w:ascii="Corbel" w:hAnsi="Corbel" w:cs="Times New Roman"/>
          <w:w w:val="105"/>
          <w:sz w:val="24"/>
          <w:szCs w:val="24"/>
          <w:lang w:val="fr-CA"/>
        </w:rPr>
      </w:pPr>
    </w:p>
    <w:p w:rsidR="00D1651C" w:rsidRPr="00D1651C" w:rsidRDefault="00D1651C" w:rsidP="00D1651C">
      <w:pPr>
        <w:pStyle w:val="BodyText"/>
        <w:spacing w:line="248" w:lineRule="auto"/>
        <w:ind w:left="0" w:right="116" w:firstLine="0"/>
        <w:jc w:val="both"/>
        <w:rPr>
          <w:rFonts w:ascii="Corbel" w:hAnsi="Corbel" w:cs="Times New Roman"/>
          <w:i/>
          <w:w w:val="105"/>
          <w:sz w:val="24"/>
          <w:szCs w:val="24"/>
          <w:lang w:val="fr-CA"/>
        </w:rPr>
      </w:pPr>
      <w:r w:rsidRPr="00D1651C">
        <w:rPr>
          <w:rFonts w:ascii="Corbel" w:hAnsi="Corbel" w:cs="Times New Roman"/>
          <w:i/>
          <w:w w:val="105"/>
          <w:sz w:val="24"/>
          <w:szCs w:val="24"/>
          <w:lang w:val="fr-CA"/>
        </w:rPr>
        <w:t>Droits du client à l’accès à son dossier personnel</w:t>
      </w:r>
    </w:p>
    <w:p w:rsidR="00D1651C" w:rsidRDefault="00D1651C" w:rsidP="00D1651C">
      <w:pPr>
        <w:pStyle w:val="BodyText"/>
        <w:spacing w:line="248" w:lineRule="auto"/>
        <w:ind w:left="0" w:right="116" w:firstLine="0"/>
        <w:jc w:val="both"/>
        <w:rPr>
          <w:rFonts w:ascii="Corbel" w:hAnsi="Corbel" w:cs="Times New Roman"/>
          <w:w w:val="105"/>
          <w:sz w:val="24"/>
          <w:szCs w:val="24"/>
          <w:lang w:val="fr-CA"/>
        </w:rPr>
      </w:pPr>
    </w:p>
    <w:p w:rsidR="00D1651C" w:rsidRDefault="00D1651C" w:rsidP="00FE0201">
      <w:pPr>
        <w:pStyle w:val="BodyText"/>
        <w:numPr>
          <w:ilvl w:val="0"/>
          <w:numId w:val="6"/>
        </w:numPr>
        <w:spacing w:line="248" w:lineRule="auto"/>
        <w:ind w:left="426" w:right="129" w:hanging="426"/>
        <w:rPr>
          <w:rFonts w:ascii="Corbel" w:hAnsi="Corbel" w:cs="Times New Roman"/>
          <w:w w:val="105"/>
          <w:sz w:val="24"/>
          <w:szCs w:val="24"/>
          <w:lang w:val="fr-CA"/>
        </w:rPr>
      </w:pPr>
      <w:r w:rsidRPr="00190DAD">
        <w:rPr>
          <w:rFonts w:ascii="Corbel" w:hAnsi="Corbel" w:cs="Times New Roman"/>
          <w:w w:val="105"/>
          <w:sz w:val="24"/>
          <w:szCs w:val="24"/>
          <w:lang w:val="fr-CA"/>
        </w:rPr>
        <w:t xml:space="preserve">Lorsqu’ils acceptent de recevoir des services, les </w:t>
      </w:r>
      <w:r>
        <w:rPr>
          <w:rFonts w:ascii="Corbel" w:hAnsi="Corbel" w:cs="Times New Roman"/>
          <w:w w:val="105"/>
          <w:sz w:val="24"/>
          <w:szCs w:val="24"/>
          <w:lang w:val="fr-CA"/>
        </w:rPr>
        <w:t xml:space="preserve">clients sont fournis avec la </w:t>
      </w:r>
      <w:r w:rsidRPr="00AB0CE2">
        <w:rPr>
          <w:rFonts w:ascii="Corbel" w:hAnsi="Corbel" w:cs="Times New Roman"/>
          <w:w w:val="105"/>
          <w:sz w:val="24"/>
          <w:szCs w:val="24"/>
          <w:lang w:val="fr-CA"/>
        </w:rPr>
        <w:t>« </w:t>
      </w:r>
      <w:r w:rsidR="005E19C7">
        <w:rPr>
          <w:rFonts w:ascii="Corbel" w:hAnsi="Corbel" w:cs="Times New Roman"/>
          <w:w w:val="105"/>
          <w:sz w:val="24"/>
          <w:szCs w:val="24"/>
          <w:lang w:val="fr-CA"/>
        </w:rPr>
        <w:t>I</w:t>
      </w:r>
      <w:r>
        <w:rPr>
          <w:rFonts w:ascii="Corbel" w:hAnsi="Corbel" w:cs="Times New Roman"/>
          <w:w w:val="105"/>
          <w:sz w:val="24"/>
          <w:szCs w:val="24"/>
          <w:lang w:val="fr-CA"/>
        </w:rPr>
        <w:t>nfo</w:t>
      </w:r>
      <w:r w:rsidRPr="00AB0CE2">
        <w:rPr>
          <w:rFonts w:ascii="Corbel" w:hAnsi="Corbel" w:cs="Times New Roman"/>
          <w:w w:val="105"/>
          <w:sz w:val="24"/>
          <w:szCs w:val="24"/>
          <w:lang w:val="fr-CA"/>
        </w:rPr>
        <w:t> </w:t>
      </w:r>
      <w:r>
        <w:rPr>
          <w:rFonts w:ascii="Corbel" w:hAnsi="Corbel" w:cs="Times New Roman"/>
          <w:w w:val="105"/>
          <w:sz w:val="24"/>
          <w:szCs w:val="24"/>
          <w:lang w:val="fr-CA"/>
        </w:rPr>
        <w:t xml:space="preserve"> du Commissaire à l’information et à la protection de la vie privée de l’Ontario</w:t>
      </w:r>
      <w:r w:rsidR="005E19C7">
        <w:rPr>
          <w:rFonts w:ascii="Corbel" w:hAnsi="Corbel" w:cs="Times New Roman"/>
          <w:w w:val="105"/>
          <w:sz w:val="24"/>
          <w:szCs w:val="24"/>
          <w:lang w:val="fr-CA"/>
        </w:rPr>
        <w:t xml:space="preserve"> </w:t>
      </w:r>
      <w:r w:rsidR="005E19C7" w:rsidRPr="00AB0CE2">
        <w:rPr>
          <w:rFonts w:ascii="Corbel" w:hAnsi="Corbel" w:cs="Times New Roman"/>
          <w:w w:val="105"/>
          <w:sz w:val="24"/>
          <w:szCs w:val="24"/>
          <w:lang w:val="fr-CA"/>
        </w:rPr>
        <w:t>»</w:t>
      </w:r>
      <w:r w:rsidRPr="00AB0CE2">
        <w:rPr>
          <w:rFonts w:ascii="Corbel" w:hAnsi="Corbel" w:cs="Times New Roman"/>
          <w:w w:val="105"/>
          <w:sz w:val="24"/>
          <w:szCs w:val="24"/>
          <w:lang w:val="fr-CA"/>
        </w:rPr>
        <w:t xml:space="preserve"> </w:t>
      </w:r>
      <w:r>
        <w:rPr>
          <w:rFonts w:ascii="Corbel" w:hAnsi="Corbel" w:cs="Times New Roman"/>
          <w:w w:val="105"/>
          <w:sz w:val="24"/>
          <w:szCs w:val="24"/>
          <w:lang w:val="fr-CA"/>
        </w:rPr>
        <w:t xml:space="preserve">(voir </w:t>
      </w:r>
      <w:r w:rsidR="005E19C7">
        <w:rPr>
          <w:rFonts w:ascii="Corbel" w:hAnsi="Corbel" w:cs="Times New Roman"/>
          <w:w w:val="105"/>
          <w:sz w:val="24"/>
          <w:szCs w:val="24"/>
          <w:lang w:val="fr-CA"/>
        </w:rPr>
        <w:t>DIR-Risque-004</w:t>
      </w:r>
      <w:r w:rsidRPr="00AB0CE2">
        <w:rPr>
          <w:rFonts w:ascii="Corbel" w:hAnsi="Corbel" w:cs="Times New Roman"/>
          <w:w w:val="105"/>
          <w:sz w:val="24"/>
          <w:szCs w:val="24"/>
          <w:lang w:val="fr-CA"/>
        </w:rPr>
        <w:t>)</w:t>
      </w:r>
      <w:r>
        <w:rPr>
          <w:rFonts w:ascii="Corbel" w:hAnsi="Corbel" w:cs="Times New Roman"/>
          <w:w w:val="105"/>
          <w:sz w:val="24"/>
          <w:szCs w:val="24"/>
          <w:lang w:val="fr-CA"/>
        </w:rPr>
        <w:t xml:space="preserve"> qui explique aux clients leurs droits en matière de </w:t>
      </w:r>
      <w:r w:rsidRPr="00190DAD">
        <w:rPr>
          <w:rFonts w:ascii="Corbel" w:hAnsi="Corbel" w:cs="Times New Roman"/>
          <w:w w:val="105"/>
          <w:sz w:val="24"/>
          <w:szCs w:val="24"/>
          <w:lang w:val="fr-CA"/>
        </w:rPr>
        <w:t>la</w:t>
      </w:r>
      <w:r>
        <w:rPr>
          <w:rFonts w:ascii="Corbel" w:hAnsi="Corbel" w:cs="Times New Roman"/>
          <w:w w:val="105"/>
          <w:sz w:val="24"/>
          <w:szCs w:val="24"/>
          <w:lang w:val="fr-CA"/>
        </w:rPr>
        <w:t xml:space="preserve"> vie privée.</w:t>
      </w:r>
    </w:p>
    <w:p w:rsidR="00D1651C" w:rsidRDefault="00D1651C" w:rsidP="00D1651C">
      <w:pPr>
        <w:pStyle w:val="BodyText"/>
        <w:spacing w:line="248" w:lineRule="auto"/>
        <w:ind w:left="426" w:right="129" w:firstLine="0"/>
        <w:rPr>
          <w:rFonts w:ascii="Corbel" w:hAnsi="Corbel" w:cs="Times New Roman"/>
          <w:w w:val="105"/>
          <w:sz w:val="24"/>
          <w:szCs w:val="24"/>
          <w:lang w:val="fr-CA"/>
        </w:rPr>
      </w:pPr>
    </w:p>
    <w:p w:rsidR="00D1651C" w:rsidRPr="00A94063" w:rsidRDefault="00D1651C" w:rsidP="00FE0201">
      <w:pPr>
        <w:pStyle w:val="BodyText"/>
        <w:numPr>
          <w:ilvl w:val="0"/>
          <w:numId w:val="6"/>
        </w:numPr>
        <w:spacing w:line="248" w:lineRule="auto"/>
        <w:ind w:left="426" w:right="129" w:hanging="426"/>
        <w:rPr>
          <w:rFonts w:ascii="Corbel" w:hAnsi="Corbel" w:cs="Times New Roman"/>
          <w:w w:val="105"/>
          <w:sz w:val="24"/>
          <w:szCs w:val="24"/>
          <w:lang w:val="fr-CA"/>
        </w:rPr>
      </w:pPr>
      <w:r w:rsidRPr="00190DAD">
        <w:rPr>
          <w:rFonts w:ascii="Corbel" w:hAnsi="Corbel" w:cs="Times New Roman"/>
          <w:w w:val="105"/>
          <w:sz w:val="24"/>
          <w:szCs w:val="24"/>
          <w:lang w:val="fr-CA"/>
        </w:rPr>
        <w:t xml:space="preserve">Les clients ont le droit d’examiner leur dossier. </w:t>
      </w:r>
      <w:r>
        <w:rPr>
          <w:rFonts w:ascii="Corbel" w:hAnsi="Corbel" w:cs="Times New Roman"/>
          <w:w w:val="105"/>
          <w:sz w:val="24"/>
          <w:szCs w:val="24"/>
          <w:lang w:val="fr-CA"/>
        </w:rPr>
        <w:t>Par contre, s</w:t>
      </w:r>
      <w:r w:rsidRPr="00190DAD">
        <w:rPr>
          <w:rFonts w:ascii="Corbel" w:hAnsi="Corbel" w:cs="Times New Roman"/>
          <w:w w:val="105"/>
          <w:sz w:val="24"/>
          <w:szCs w:val="24"/>
          <w:lang w:val="fr-CA"/>
        </w:rPr>
        <w:t>eule l’information recueillie par CAH peut être consultée par le client. Il faut s’adresser à la source pour avoir accès aux renseignements provenant d’une tierce partie.</w:t>
      </w:r>
    </w:p>
    <w:p w:rsidR="00D1651C" w:rsidRDefault="00D1651C" w:rsidP="00D1651C">
      <w:pPr>
        <w:pStyle w:val="BodyText"/>
        <w:spacing w:line="248" w:lineRule="auto"/>
        <w:ind w:left="426" w:right="129" w:firstLine="0"/>
        <w:rPr>
          <w:rFonts w:ascii="Corbel" w:hAnsi="Corbel" w:cs="Times New Roman"/>
          <w:w w:val="105"/>
          <w:sz w:val="24"/>
          <w:szCs w:val="24"/>
          <w:lang w:val="fr-CA"/>
        </w:rPr>
      </w:pPr>
    </w:p>
    <w:p w:rsidR="00D1651C" w:rsidRDefault="00D1651C" w:rsidP="00D1651C">
      <w:pPr>
        <w:pStyle w:val="BodyText"/>
        <w:spacing w:line="248" w:lineRule="auto"/>
        <w:ind w:left="0" w:right="129" w:firstLine="0"/>
        <w:rPr>
          <w:rFonts w:ascii="Corbel" w:hAnsi="Corbel" w:cs="Times New Roman"/>
          <w:i/>
          <w:w w:val="105"/>
          <w:sz w:val="24"/>
          <w:szCs w:val="24"/>
          <w:lang w:val="fr-CA"/>
        </w:rPr>
      </w:pPr>
      <w:r>
        <w:rPr>
          <w:rFonts w:ascii="Corbel" w:hAnsi="Corbel" w:cs="Times New Roman"/>
          <w:i/>
          <w:w w:val="105"/>
          <w:sz w:val="24"/>
          <w:szCs w:val="24"/>
          <w:lang w:val="fr-CA"/>
        </w:rPr>
        <w:t>Demande d’accès</w:t>
      </w:r>
    </w:p>
    <w:p w:rsidR="00D1651C" w:rsidRPr="00A94063" w:rsidRDefault="00D1651C" w:rsidP="00D1651C">
      <w:pPr>
        <w:pStyle w:val="BodyText"/>
        <w:spacing w:line="248" w:lineRule="auto"/>
        <w:ind w:left="0" w:right="129" w:firstLine="0"/>
        <w:rPr>
          <w:rFonts w:ascii="Corbel" w:hAnsi="Corbel" w:cs="Times New Roman"/>
          <w:i/>
          <w:w w:val="105"/>
          <w:sz w:val="24"/>
          <w:szCs w:val="24"/>
          <w:lang w:val="fr-CA"/>
        </w:rPr>
      </w:pPr>
    </w:p>
    <w:p w:rsidR="00D1651C" w:rsidRPr="00A94063" w:rsidRDefault="00D1651C" w:rsidP="00FE0201">
      <w:pPr>
        <w:pStyle w:val="BodyText"/>
        <w:numPr>
          <w:ilvl w:val="0"/>
          <w:numId w:val="6"/>
        </w:numPr>
        <w:spacing w:line="248" w:lineRule="auto"/>
        <w:ind w:left="426" w:right="129" w:hanging="426"/>
        <w:rPr>
          <w:rFonts w:ascii="Corbel" w:hAnsi="Corbel" w:cs="Times New Roman"/>
          <w:w w:val="105"/>
          <w:sz w:val="24"/>
          <w:szCs w:val="24"/>
          <w:lang w:val="fr-CA"/>
        </w:rPr>
      </w:pPr>
      <w:r w:rsidRPr="00A94063">
        <w:rPr>
          <w:rFonts w:ascii="Corbel" w:hAnsi="Corbel" w:cs="Times New Roman"/>
          <w:w w:val="105"/>
          <w:sz w:val="24"/>
          <w:szCs w:val="24"/>
          <w:lang w:val="fr-CA"/>
        </w:rPr>
        <w:t xml:space="preserve">Toute demande d’accès se fait par écrit par le requérant </w:t>
      </w:r>
      <w:r w:rsidR="004774FB">
        <w:rPr>
          <w:rFonts w:ascii="Corbel" w:hAnsi="Corbel" w:cs="Times New Roman"/>
          <w:w w:val="105"/>
          <w:sz w:val="24"/>
          <w:szCs w:val="24"/>
          <w:lang w:val="fr-CA"/>
        </w:rPr>
        <w:t>et en le déposant avec le Responsable de besoins complexes.</w:t>
      </w:r>
    </w:p>
    <w:p w:rsidR="00D1651C" w:rsidRDefault="00D1651C" w:rsidP="00D1651C">
      <w:pPr>
        <w:pStyle w:val="BodyText"/>
        <w:spacing w:line="248" w:lineRule="auto"/>
        <w:ind w:left="426" w:right="129" w:hanging="426"/>
        <w:rPr>
          <w:rFonts w:ascii="Corbel" w:hAnsi="Corbel" w:cs="Times New Roman"/>
          <w:w w:val="105"/>
          <w:sz w:val="24"/>
          <w:szCs w:val="24"/>
          <w:lang w:val="fr-CA"/>
        </w:rPr>
      </w:pPr>
    </w:p>
    <w:p w:rsidR="00D1651C" w:rsidRPr="00A94063" w:rsidRDefault="00D1651C" w:rsidP="00FE0201">
      <w:pPr>
        <w:pStyle w:val="BodyText"/>
        <w:numPr>
          <w:ilvl w:val="0"/>
          <w:numId w:val="6"/>
        </w:numPr>
        <w:spacing w:line="248" w:lineRule="auto"/>
        <w:ind w:left="426" w:right="129" w:hanging="426"/>
        <w:rPr>
          <w:rFonts w:ascii="Corbel" w:hAnsi="Corbel" w:cs="Times New Roman"/>
          <w:w w:val="105"/>
          <w:sz w:val="24"/>
          <w:szCs w:val="24"/>
          <w:lang w:val="fr-CA"/>
        </w:rPr>
      </w:pPr>
      <w:r w:rsidRPr="00190DAD">
        <w:rPr>
          <w:rFonts w:ascii="Corbel" w:hAnsi="Corbel" w:cs="Times New Roman"/>
          <w:w w:val="105"/>
          <w:sz w:val="24"/>
          <w:szCs w:val="24"/>
          <w:lang w:val="fr-CA"/>
        </w:rPr>
        <w:t>La demand</w:t>
      </w:r>
      <w:r>
        <w:rPr>
          <w:rFonts w:ascii="Corbel" w:hAnsi="Corbel" w:cs="Times New Roman"/>
          <w:w w:val="105"/>
          <w:sz w:val="24"/>
          <w:szCs w:val="24"/>
          <w:lang w:val="fr-CA"/>
        </w:rPr>
        <w:t>e d’accès est transmise</w:t>
      </w:r>
      <w:r w:rsidRPr="00190DAD">
        <w:rPr>
          <w:rFonts w:ascii="Corbel" w:hAnsi="Corbel" w:cs="Times New Roman"/>
          <w:w w:val="105"/>
          <w:sz w:val="24"/>
          <w:szCs w:val="24"/>
          <w:lang w:val="fr-CA"/>
        </w:rPr>
        <w:t xml:space="preserve"> au Responsable de besoins complexes </w:t>
      </w:r>
      <w:r>
        <w:rPr>
          <w:rFonts w:ascii="Corbel" w:hAnsi="Corbel" w:cs="Times New Roman"/>
          <w:w w:val="105"/>
          <w:sz w:val="24"/>
          <w:szCs w:val="24"/>
          <w:lang w:val="fr-CA"/>
        </w:rPr>
        <w:t xml:space="preserve">ou au Directeur des programmes </w:t>
      </w:r>
      <w:r w:rsidRPr="00190DAD">
        <w:rPr>
          <w:rFonts w:ascii="Corbel" w:hAnsi="Corbel" w:cs="Times New Roman"/>
          <w:w w:val="105"/>
          <w:sz w:val="24"/>
          <w:szCs w:val="24"/>
          <w:lang w:val="fr-CA"/>
        </w:rPr>
        <w:t>dans les meilleurs délais.</w:t>
      </w:r>
    </w:p>
    <w:p w:rsidR="00D1651C" w:rsidRDefault="00D1651C" w:rsidP="00FE0201">
      <w:pPr>
        <w:pStyle w:val="BodyText"/>
        <w:spacing w:line="248" w:lineRule="auto"/>
        <w:ind w:left="426" w:right="129" w:hanging="426"/>
        <w:rPr>
          <w:rFonts w:ascii="Corbel" w:hAnsi="Corbel" w:cs="Times New Roman"/>
          <w:w w:val="105"/>
          <w:sz w:val="24"/>
          <w:szCs w:val="24"/>
          <w:lang w:val="fr-CA"/>
        </w:rPr>
      </w:pPr>
    </w:p>
    <w:p w:rsidR="00D1651C" w:rsidRPr="00A94063" w:rsidRDefault="00D1651C" w:rsidP="00FE0201">
      <w:pPr>
        <w:pStyle w:val="BodyText"/>
        <w:numPr>
          <w:ilvl w:val="0"/>
          <w:numId w:val="6"/>
        </w:numPr>
        <w:spacing w:line="248" w:lineRule="auto"/>
        <w:ind w:left="426" w:right="129" w:hanging="426"/>
        <w:rPr>
          <w:rFonts w:ascii="Corbel" w:hAnsi="Corbel" w:cs="Times New Roman"/>
          <w:w w:val="105"/>
          <w:sz w:val="24"/>
          <w:szCs w:val="24"/>
          <w:lang w:val="fr-CA"/>
        </w:rPr>
      </w:pPr>
      <w:r w:rsidRPr="00190DAD">
        <w:rPr>
          <w:rFonts w:ascii="Corbel" w:hAnsi="Corbel" w:cs="Times New Roman"/>
          <w:w w:val="105"/>
          <w:sz w:val="24"/>
          <w:szCs w:val="24"/>
          <w:lang w:val="fr-CA"/>
        </w:rPr>
        <w:t xml:space="preserve">La demande d’accès </w:t>
      </w:r>
      <w:r>
        <w:rPr>
          <w:rFonts w:ascii="Corbel" w:hAnsi="Corbel" w:cs="Times New Roman"/>
          <w:w w:val="105"/>
          <w:sz w:val="24"/>
          <w:szCs w:val="24"/>
          <w:lang w:val="fr-CA"/>
        </w:rPr>
        <w:t>est</w:t>
      </w:r>
      <w:r w:rsidRPr="00190DAD">
        <w:rPr>
          <w:rFonts w:ascii="Corbel" w:hAnsi="Corbel" w:cs="Times New Roman"/>
          <w:w w:val="105"/>
          <w:sz w:val="24"/>
          <w:szCs w:val="24"/>
          <w:lang w:val="fr-CA"/>
        </w:rPr>
        <w:t xml:space="preserve"> traitée dans les meilleurs délais et au plus tard dans les 15 jours ouvrables a</w:t>
      </w:r>
      <w:r>
        <w:rPr>
          <w:rFonts w:ascii="Corbel" w:hAnsi="Corbel" w:cs="Times New Roman"/>
          <w:w w:val="105"/>
          <w:sz w:val="24"/>
          <w:szCs w:val="24"/>
          <w:lang w:val="fr-CA"/>
        </w:rPr>
        <w:t>près la réception de la demande.</w:t>
      </w:r>
    </w:p>
    <w:p w:rsidR="00D1651C" w:rsidRDefault="00D1651C" w:rsidP="00FE0201">
      <w:pPr>
        <w:pStyle w:val="BodyText"/>
        <w:spacing w:line="248" w:lineRule="auto"/>
        <w:ind w:left="426" w:right="129" w:hanging="426"/>
        <w:rPr>
          <w:rFonts w:ascii="Corbel" w:hAnsi="Corbel" w:cs="Times New Roman"/>
          <w:w w:val="105"/>
          <w:sz w:val="24"/>
          <w:szCs w:val="24"/>
          <w:lang w:val="fr-CA"/>
        </w:rPr>
      </w:pPr>
    </w:p>
    <w:p w:rsidR="00D1651C" w:rsidRPr="00A94063" w:rsidRDefault="00D1651C" w:rsidP="00FE0201">
      <w:pPr>
        <w:pStyle w:val="BodyText"/>
        <w:numPr>
          <w:ilvl w:val="0"/>
          <w:numId w:val="6"/>
        </w:numPr>
        <w:spacing w:line="248" w:lineRule="auto"/>
        <w:ind w:left="426" w:right="129" w:hanging="426"/>
        <w:rPr>
          <w:rFonts w:ascii="Corbel" w:hAnsi="Corbel" w:cs="Times New Roman"/>
          <w:w w:val="105"/>
          <w:sz w:val="24"/>
          <w:szCs w:val="24"/>
          <w:lang w:val="fr-CA"/>
        </w:rPr>
      </w:pPr>
      <w:r w:rsidRPr="00190DAD">
        <w:rPr>
          <w:rFonts w:ascii="Corbel" w:hAnsi="Corbel" w:cs="Times New Roman"/>
          <w:w w:val="105"/>
          <w:sz w:val="24"/>
          <w:szCs w:val="24"/>
          <w:lang w:val="fr-CA"/>
        </w:rPr>
        <w:t>Le Responsable de besoins complexes</w:t>
      </w:r>
      <w:r w:rsidRPr="00A94063">
        <w:rPr>
          <w:rFonts w:ascii="Corbel" w:hAnsi="Corbel" w:cs="Times New Roman"/>
          <w:w w:val="105"/>
          <w:sz w:val="24"/>
          <w:szCs w:val="24"/>
          <w:lang w:val="fr-CA"/>
        </w:rPr>
        <w:t xml:space="preserve"> </w:t>
      </w:r>
      <w:r>
        <w:rPr>
          <w:rFonts w:ascii="Corbel" w:hAnsi="Corbel" w:cs="Times New Roman"/>
          <w:w w:val="105"/>
          <w:sz w:val="24"/>
          <w:szCs w:val="24"/>
          <w:lang w:val="fr-CA"/>
        </w:rPr>
        <w:t xml:space="preserve">ou le </w:t>
      </w:r>
      <w:r w:rsidRPr="00190DAD">
        <w:rPr>
          <w:rFonts w:ascii="Corbel" w:hAnsi="Corbel" w:cs="Times New Roman"/>
          <w:w w:val="105"/>
          <w:sz w:val="24"/>
          <w:szCs w:val="24"/>
          <w:lang w:val="fr-CA"/>
        </w:rPr>
        <w:t>directeur de</w:t>
      </w:r>
      <w:r>
        <w:rPr>
          <w:rFonts w:ascii="Corbel" w:hAnsi="Corbel" w:cs="Times New Roman"/>
          <w:w w:val="105"/>
          <w:sz w:val="24"/>
          <w:szCs w:val="24"/>
          <w:lang w:val="fr-CA"/>
        </w:rPr>
        <w:t>s</w:t>
      </w:r>
      <w:r w:rsidRPr="00190DAD">
        <w:rPr>
          <w:rFonts w:ascii="Corbel" w:hAnsi="Corbel" w:cs="Times New Roman"/>
          <w:w w:val="105"/>
          <w:sz w:val="24"/>
          <w:szCs w:val="24"/>
          <w:lang w:val="fr-CA"/>
        </w:rPr>
        <w:t xml:space="preserve"> programme</w:t>
      </w:r>
      <w:r>
        <w:rPr>
          <w:rFonts w:ascii="Corbel" w:hAnsi="Corbel" w:cs="Times New Roman"/>
          <w:w w:val="105"/>
          <w:sz w:val="24"/>
          <w:szCs w:val="24"/>
          <w:lang w:val="fr-CA"/>
        </w:rPr>
        <w:t xml:space="preserve">s </w:t>
      </w:r>
      <w:r w:rsidRPr="00190DAD">
        <w:rPr>
          <w:rFonts w:ascii="Corbel" w:hAnsi="Corbel" w:cs="Times New Roman"/>
          <w:w w:val="105"/>
          <w:sz w:val="24"/>
          <w:szCs w:val="24"/>
          <w:lang w:val="fr-CA"/>
        </w:rPr>
        <w:t>avise le client par écrit de sa décision</w:t>
      </w:r>
      <w:bookmarkStart w:id="0" w:name="_bookmark27"/>
      <w:bookmarkEnd w:id="0"/>
      <w:r w:rsidR="005E19C7">
        <w:rPr>
          <w:rFonts w:ascii="Corbel" w:hAnsi="Corbel" w:cs="Times New Roman"/>
          <w:w w:val="105"/>
          <w:sz w:val="24"/>
          <w:szCs w:val="24"/>
          <w:lang w:val="fr-CA"/>
        </w:rPr>
        <w:t>.</w:t>
      </w:r>
    </w:p>
    <w:p w:rsidR="00D1651C" w:rsidRDefault="00D1651C" w:rsidP="00FE0201">
      <w:pPr>
        <w:pStyle w:val="BodyText"/>
        <w:spacing w:line="248" w:lineRule="auto"/>
        <w:ind w:left="426" w:right="129" w:hanging="426"/>
        <w:rPr>
          <w:rFonts w:ascii="Corbel" w:hAnsi="Corbel" w:cs="Times New Roman"/>
          <w:w w:val="105"/>
          <w:sz w:val="24"/>
          <w:szCs w:val="24"/>
          <w:lang w:val="fr-CA"/>
        </w:rPr>
      </w:pPr>
    </w:p>
    <w:p w:rsidR="00D1651C" w:rsidRPr="00A94063"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sidRPr="00A94063">
        <w:rPr>
          <w:rFonts w:ascii="Corbel" w:hAnsi="Corbel" w:cs="Times New Roman"/>
          <w:w w:val="105"/>
          <w:sz w:val="24"/>
          <w:szCs w:val="24"/>
          <w:lang w:val="fr-CA"/>
        </w:rPr>
        <w:t xml:space="preserve">Le client peut se faire accompagner d’une autre personne lors de la consultation de son dossier. </w:t>
      </w:r>
    </w:p>
    <w:p w:rsidR="00D1651C" w:rsidRPr="00A94063" w:rsidRDefault="00D1651C" w:rsidP="00FE0201">
      <w:pPr>
        <w:pStyle w:val="BodyText"/>
        <w:spacing w:before="10" w:line="248" w:lineRule="auto"/>
        <w:ind w:left="426" w:right="129" w:hanging="426"/>
        <w:rPr>
          <w:rFonts w:ascii="Corbel" w:hAnsi="Corbel"/>
          <w:w w:val="105"/>
          <w:sz w:val="24"/>
          <w:szCs w:val="24"/>
          <w:lang w:val="fr-CA"/>
        </w:rPr>
      </w:pPr>
    </w:p>
    <w:p w:rsidR="00D1651C" w:rsidRPr="00A94063" w:rsidRDefault="00D1651C" w:rsidP="00FE0201">
      <w:pPr>
        <w:pStyle w:val="BodyText"/>
        <w:numPr>
          <w:ilvl w:val="0"/>
          <w:numId w:val="6"/>
        </w:numPr>
        <w:spacing w:before="10" w:line="248" w:lineRule="auto"/>
        <w:ind w:left="426" w:right="129" w:hanging="426"/>
        <w:rPr>
          <w:rFonts w:ascii="Corbel" w:hAnsi="Corbel" w:cs="Times New Roman"/>
          <w:w w:val="105"/>
          <w:sz w:val="24"/>
          <w:szCs w:val="24"/>
          <w:lang w:val="fr-CA"/>
        </w:rPr>
      </w:pPr>
      <w:r w:rsidRPr="00A94063">
        <w:rPr>
          <w:rFonts w:ascii="Corbel" w:hAnsi="Corbel" w:cs="Times New Roman"/>
          <w:w w:val="105"/>
          <w:sz w:val="24"/>
          <w:szCs w:val="24"/>
          <w:lang w:val="fr-CA"/>
        </w:rPr>
        <w:t>Le client peut demander l’a</w:t>
      </w:r>
      <w:r>
        <w:rPr>
          <w:rFonts w:ascii="Corbel" w:hAnsi="Corbel" w:cs="Times New Roman"/>
          <w:w w:val="105"/>
          <w:sz w:val="24"/>
          <w:szCs w:val="24"/>
          <w:lang w:val="fr-CA"/>
        </w:rPr>
        <w:t xml:space="preserve">ide du personnel pour </w:t>
      </w:r>
      <w:r w:rsidRPr="00A94063">
        <w:rPr>
          <w:rFonts w:ascii="Corbel" w:hAnsi="Corbel" w:cs="Times New Roman"/>
          <w:w w:val="105"/>
          <w:sz w:val="24"/>
          <w:szCs w:val="24"/>
          <w:lang w:val="fr-CA"/>
        </w:rPr>
        <w:t>comprendre les renseignements contenus au dossier.</w:t>
      </w:r>
    </w:p>
    <w:p w:rsidR="00D1651C" w:rsidRDefault="00D1651C" w:rsidP="00FE0201">
      <w:pPr>
        <w:pStyle w:val="BodyText"/>
        <w:spacing w:before="10" w:line="248" w:lineRule="auto"/>
        <w:ind w:left="426" w:right="129" w:hanging="426"/>
        <w:rPr>
          <w:rFonts w:ascii="Corbel" w:hAnsi="Corbel" w:cs="Times New Roman"/>
          <w:w w:val="105"/>
          <w:sz w:val="24"/>
          <w:szCs w:val="24"/>
          <w:lang w:val="fr-CA"/>
        </w:rPr>
      </w:pPr>
    </w:p>
    <w:p w:rsidR="00D1651C" w:rsidRPr="00A94063" w:rsidRDefault="00D1651C" w:rsidP="00FE0201">
      <w:pPr>
        <w:pStyle w:val="BodyText"/>
        <w:numPr>
          <w:ilvl w:val="0"/>
          <w:numId w:val="6"/>
        </w:numPr>
        <w:spacing w:before="10" w:line="248" w:lineRule="auto"/>
        <w:ind w:left="426" w:right="129" w:hanging="426"/>
        <w:rPr>
          <w:rFonts w:ascii="Corbel" w:hAnsi="Corbel" w:cs="Times New Roman"/>
          <w:w w:val="105"/>
          <w:sz w:val="24"/>
          <w:szCs w:val="24"/>
          <w:lang w:val="fr-CA"/>
        </w:rPr>
      </w:pPr>
      <w:r w:rsidRPr="00190DAD">
        <w:rPr>
          <w:rFonts w:ascii="Corbel" w:hAnsi="Corbel" w:cs="Times New Roman"/>
          <w:w w:val="105"/>
          <w:sz w:val="24"/>
          <w:szCs w:val="24"/>
          <w:lang w:val="fr-CA"/>
        </w:rPr>
        <w:t>Durant la consultation du dossier, le personnel assure une surveillance adéquate afin qu’aucun document ne soit retiré ou modifié.</w:t>
      </w:r>
    </w:p>
    <w:p w:rsidR="00D1651C" w:rsidRDefault="00D1651C" w:rsidP="00FE0201">
      <w:pPr>
        <w:pStyle w:val="BodyText"/>
        <w:spacing w:before="10" w:line="248" w:lineRule="auto"/>
        <w:ind w:left="426" w:right="129" w:hanging="426"/>
        <w:rPr>
          <w:rFonts w:ascii="Corbel" w:hAnsi="Corbel" w:cs="Times New Roman"/>
          <w:w w:val="105"/>
          <w:sz w:val="24"/>
          <w:szCs w:val="24"/>
          <w:lang w:val="fr-CA"/>
        </w:rPr>
      </w:pPr>
    </w:p>
    <w:p w:rsidR="00D1651C" w:rsidRPr="00A94063"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sidRPr="00A94063">
        <w:rPr>
          <w:rFonts w:ascii="Corbel" w:hAnsi="Corbel" w:cs="Times New Roman"/>
          <w:w w:val="105"/>
          <w:sz w:val="24"/>
          <w:szCs w:val="24"/>
          <w:lang w:val="fr-CA"/>
        </w:rPr>
        <w:t>L'accès au fichier est gratuit. Les frais de reproduction sont également gratuits à condition qu'ils ne dépassent pas 50 pages.</w:t>
      </w:r>
    </w:p>
    <w:p w:rsidR="00D1651C" w:rsidRDefault="00D1651C" w:rsidP="00D1651C">
      <w:pPr>
        <w:pStyle w:val="BodyText"/>
        <w:spacing w:before="10" w:line="248" w:lineRule="auto"/>
        <w:ind w:left="426" w:right="129" w:firstLine="0"/>
        <w:rPr>
          <w:rFonts w:ascii="Corbel" w:hAnsi="Corbel"/>
          <w:w w:val="105"/>
          <w:sz w:val="24"/>
          <w:szCs w:val="24"/>
          <w:lang w:val="fr-CA"/>
        </w:rPr>
      </w:pPr>
    </w:p>
    <w:p w:rsidR="00D1651C" w:rsidRPr="00A94063" w:rsidRDefault="00D1651C" w:rsidP="00D1651C">
      <w:pPr>
        <w:pStyle w:val="BodyText"/>
        <w:spacing w:before="10" w:line="248" w:lineRule="auto"/>
        <w:ind w:left="0" w:right="129" w:firstLine="0"/>
        <w:rPr>
          <w:rFonts w:ascii="Corbel" w:hAnsi="Corbel"/>
          <w:i/>
          <w:w w:val="105"/>
          <w:sz w:val="24"/>
          <w:szCs w:val="24"/>
          <w:lang w:val="fr-CA"/>
        </w:rPr>
      </w:pPr>
      <w:r w:rsidRPr="00A94063">
        <w:rPr>
          <w:rFonts w:ascii="Corbel" w:hAnsi="Corbel"/>
          <w:i/>
          <w:w w:val="105"/>
          <w:sz w:val="24"/>
          <w:szCs w:val="24"/>
          <w:lang w:val="fr-CA"/>
        </w:rPr>
        <w:t>Demande de changement</w:t>
      </w:r>
      <w:r>
        <w:rPr>
          <w:rFonts w:ascii="Corbel" w:hAnsi="Corbel"/>
          <w:i/>
          <w:w w:val="105"/>
          <w:sz w:val="24"/>
          <w:szCs w:val="24"/>
          <w:lang w:val="fr-CA"/>
        </w:rPr>
        <w:t xml:space="preserve"> des résultats de l’InterRAI CHA</w:t>
      </w:r>
    </w:p>
    <w:p w:rsidR="00D1651C" w:rsidRPr="00A94063" w:rsidRDefault="00D1651C" w:rsidP="00D1651C">
      <w:pPr>
        <w:pStyle w:val="BodyText"/>
        <w:spacing w:before="10" w:line="248" w:lineRule="auto"/>
        <w:ind w:left="426" w:right="129" w:firstLine="0"/>
        <w:rPr>
          <w:rFonts w:ascii="Corbel" w:hAnsi="Corbel"/>
          <w:w w:val="105"/>
          <w:sz w:val="24"/>
          <w:szCs w:val="24"/>
          <w:lang w:val="fr-CA"/>
        </w:rPr>
      </w:pPr>
    </w:p>
    <w:p w:rsidR="00D1651C"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sidRPr="00A94063">
        <w:rPr>
          <w:rFonts w:ascii="Corbel" w:hAnsi="Corbel" w:cs="Times New Roman"/>
          <w:w w:val="105"/>
          <w:sz w:val="24"/>
          <w:szCs w:val="24"/>
          <w:lang w:val="fr-CA"/>
        </w:rPr>
        <w:t>Une</w:t>
      </w:r>
      <w:r w:rsidRPr="00A94063">
        <w:rPr>
          <w:rFonts w:ascii="Corbel" w:hAnsi="Corbel"/>
          <w:w w:val="105"/>
          <w:sz w:val="24"/>
          <w:szCs w:val="24"/>
          <w:lang w:val="fr-CA"/>
        </w:rPr>
        <w:t xml:space="preserve"> demande de changement </w:t>
      </w:r>
      <w:r>
        <w:rPr>
          <w:rFonts w:ascii="Corbel" w:hAnsi="Corbel"/>
          <w:w w:val="105"/>
          <w:sz w:val="24"/>
          <w:szCs w:val="24"/>
          <w:lang w:val="fr-CA"/>
        </w:rPr>
        <w:t xml:space="preserve">des résultats de l’InterRAI CHA </w:t>
      </w:r>
      <w:r w:rsidRPr="00A94063">
        <w:rPr>
          <w:rFonts w:ascii="Corbel" w:hAnsi="Corbel"/>
          <w:w w:val="105"/>
          <w:sz w:val="24"/>
          <w:szCs w:val="24"/>
          <w:lang w:val="fr-CA"/>
        </w:rPr>
        <w:t>peut être par écrit ou verbale.</w:t>
      </w:r>
      <w:r w:rsidRPr="00885D32">
        <w:rPr>
          <w:rFonts w:ascii="Corbel" w:hAnsi="Corbel"/>
          <w:w w:val="105"/>
          <w:sz w:val="24"/>
          <w:szCs w:val="24"/>
          <w:lang w:val="fr-CA"/>
        </w:rPr>
        <w:t xml:space="preserve"> </w:t>
      </w:r>
    </w:p>
    <w:p w:rsidR="00D1651C" w:rsidRDefault="00D1651C" w:rsidP="00FE0201">
      <w:pPr>
        <w:pStyle w:val="BodyText"/>
        <w:spacing w:before="10" w:line="248" w:lineRule="auto"/>
        <w:ind w:left="426" w:right="129" w:hanging="426"/>
        <w:rPr>
          <w:rFonts w:ascii="Corbel" w:hAnsi="Corbel"/>
          <w:w w:val="105"/>
          <w:sz w:val="24"/>
          <w:szCs w:val="24"/>
          <w:lang w:val="fr-CA"/>
        </w:rPr>
      </w:pPr>
    </w:p>
    <w:p w:rsidR="00D1651C" w:rsidRPr="00885D32"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Pr>
          <w:rFonts w:ascii="Corbel" w:hAnsi="Corbel"/>
          <w:w w:val="105"/>
          <w:sz w:val="24"/>
          <w:szCs w:val="24"/>
          <w:lang w:val="fr-CA"/>
        </w:rPr>
        <w:t>Le</w:t>
      </w:r>
      <w:r w:rsidRPr="00190DAD">
        <w:rPr>
          <w:rFonts w:ascii="Corbel" w:hAnsi="Corbel"/>
          <w:w w:val="105"/>
          <w:sz w:val="24"/>
          <w:szCs w:val="24"/>
          <w:lang w:val="fr-CA"/>
        </w:rPr>
        <w:t xml:space="preserve"> gestion</w:t>
      </w:r>
      <w:r>
        <w:rPr>
          <w:rFonts w:ascii="Corbel" w:hAnsi="Corbel"/>
          <w:w w:val="105"/>
          <w:sz w:val="24"/>
          <w:szCs w:val="24"/>
          <w:lang w:val="fr-CA"/>
        </w:rPr>
        <w:t>naire de cas</w:t>
      </w:r>
      <w:r w:rsidRPr="00190DAD">
        <w:rPr>
          <w:rFonts w:ascii="Corbel" w:hAnsi="Corbel"/>
          <w:w w:val="105"/>
          <w:sz w:val="24"/>
          <w:szCs w:val="24"/>
          <w:lang w:val="fr-CA"/>
        </w:rPr>
        <w:t xml:space="preserve"> précisera la raison de la demande </w:t>
      </w:r>
      <w:r>
        <w:rPr>
          <w:rFonts w:ascii="Corbel" w:hAnsi="Corbel"/>
          <w:w w:val="105"/>
          <w:sz w:val="24"/>
          <w:szCs w:val="24"/>
          <w:lang w:val="fr-CA"/>
        </w:rPr>
        <w:t>du client dans une note dans le dossier du client.</w:t>
      </w:r>
    </w:p>
    <w:p w:rsidR="00D1651C" w:rsidRDefault="00D1651C" w:rsidP="00FE0201">
      <w:pPr>
        <w:pStyle w:val="BodyText"/>
        <w:spacing w:before="10" w:line="248" w:lineRule="auto"/>
        <w:ind w:left="426" w:right="129" w:hanging="426"/>
        <w:rPr>
          <w:rFonts w:ascii="Corbel" w:hAnsi="Corbel"/>
          <w:w w:val="105"/>
          <w:sz w:val="24"/>
          <w:szCs w:val="24"/>
          <w:lang w:val="fr-CA"/>
        </w:rPr>
      </w:pPr>
    </w:p>
    <w:p w:rsidR="00D1651C" w:rsidRPr="00885D32"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sidRPr="00885D32">
        <w:rPr>
          <w:rFonts w:ascii="Corbel" w:hAnsi="Corbel"/>
          <w:w w:val="105"/>
          <w:sz w:val="24"/>
          <w:szCs w:val="24"/>
          <w:lang w:val="fr-CA"/>
        </w:rPr>
        <w:t>Le gestionnaire de cas réévaluera</w:t>
      </w:r>
      <w:r>
        <w:rPr>
          <w:rFonts w:ascii="Corbel" w:hAnsi="Corbel"/>
          <w:w w:val="105"/>
          <w:sz w:val="24"/>
          <w:szCs w:val="24"/>
          <w:lang w:val="fr-CA"/>
        </w:rPr>
        <w:t xml:space="preserve"> le client.</w:t>
      </w:r>
    </w:p>
    <w:p w:rsidR="00D1651C" w:rsidRDefault="00D1651C" w:rsidP="00FE0201">
      <w:pPr>
        <w:pStyle w:val="BodyText"/>
        <w:spacing w:before="10" w:line="248" w:lineRule="auto"/>
        <w:ind w:left="426" w:right="129" w:hanging="426"/>
        <w:rPr>
          <w:rFonts w:ascii="Corbel" w:hAnsi="Corbel"/>
          <w:w w:val="105"/>
          <w:sz w:val="24"/>
          <w:szCs w:val="24"/>
          <w:lang w:val="fr-CA"/>
        </w:rPr>
      </w:pPr>
    </w:p>
    <w:p w:rsidR="00D1651C"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sidRPr="00885D32">
        <w:rPr>
          <w:rFonts w:ascii="Corbel" w:hAnsi="Corbel"/>
          <w:w w:val="105"/>
          <w:sz w:val="24"/>
          <w:szCs w:val="24"/>
          <w:lang w:val="fr-CA"/>
        </w:rPr>
        <w:t>À la fin de la réévaluation, la nouvelle évaluation est automatiquement téléchargée dans le RAI, sauf si le client a complètement retiré son consentement à cet égard.</w:t>
      </w:r>
    </w:p>
    <w:p w:rsidR="00D1651C" w:rsidRDefault="00D1651C" w:rsidP="00D1651C">
      <w:pPr>
        <w:pStyle w:val="ListParagraph"/>
        <w:rPr>
          <w:rFonts w:ascii="Corbel" w:hAnsi="Corbel"/>
          <w:w w:val="105"/>
          <w:sz w:val="24"/>
          <w:szCs w:val="24"/>
          <w:lang w:val="fr-CA"/>
        </w:rPr>
      </w:pPr>
    </w:p>
    <w:p w:rsidR="00D1651C" w:rsidRDefault="00D1651C" w:rsidP="00D1651C">
      <w:pPr>
        <w:pStyle w:val="BodyText"/>
        <w:spacing w:before="10" w:line="248" w:lineRule="auto"/>
        <w:ind w:left="0" w:right="129" w:firstLine="0"/>
        <w:rPr>
          <w:rFonts w:ascii="Corbel" w:hAnsi="Corbel"/>
          <w:i/>
          <w:w w:val="105"/>
          <w:sz w:val="24"/>
          <w:szCs w:val="24"/>
          <w:lang w:val="fr-CA"/>
        </w:rPr>
      </w:pPr>
      <w:r w:rsidRPr="00A94063">
        <w:rPr>
          <w:rFonts w:ascii="Corbel" w:hAnsi="Corbel"/>
          <w:i/>
          <w:w w:val="105"/>
          <w:sz w:val="24"/>
          <w:szCs w:val="24"/>
          <w:lang w:val="fr-CA"/>
        </w:rPr>
        <w:t>Demande de changement</w:t>
      </w:r>
      <w:r>
        <w:rPr>
          <w:rFonts w:ascii="Corbel" w:hAnsi="Corbel"/>
          <w:i/>
          <w:w w:val="105"/>
          <w:sz w:val="24"/>
          <w:szCs w:val="24"/>
          <w:lang w:val="fr-CA"/>
        </w:rPr>
        <w:t xml:space="preserve"> des renseignements personnels sur la santé</w:t>
      </w:r>
    </w:p>
    <w:p w:rsidR="00D1651C" w:rsidRPr="00885D32" w:rsidRDefault="00D1651C" w:rsidP="00D1651C">
      <w:pPr>
        <w:pStyle w:val="BodyText"/>
        <w:spacing w:before="10" w:line="248" w:lineRule="auto"/>
        <w:ind w:left="0" w:right="129" w:firstLine="0"/>
        <w:rPr>
          <w:rFonts w:ascii="Corbel" w:hAnsi="Corbel"/>
          <w:i/>
          <w:w w:val="105"/>
          <w:sz w:val="24"/>
          <w:szCs w:val="24"/>
          <w:lang w:val="fr-CA"/>
        </w:rPr>
      </w:pPr>
    </w:p>
    <w:p w:rsidR="00D1651C"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Pr>
          <w:rFonts w:ascii="Corbel" w:hAnsi="Corbel"/>
          <w:w w:val="105"/>
          <w:sz w:val="24"/>
          <w:szCs w:val="24"/>
          <w:lang w:val="fr-CA"/>
        </w:rPr>
        <w:t xml:space="preserve">Selon la loi (LPRPS), le client a le droit </w:t>
      </w:r>
      <w:r w:rsidR="005E19C7">
        <w:rPr>
          <w:rFonts w:ascii="Corbel" w:hAnsi="Corbel"/>
          <w:w w:val="105"/>
          <w:sz w:val="24"/>
          <w:szCs w:val="24"/>
          <w:lang w:val="fr-CA"/>
        </w:rPr>
        <w:t xml:space="preserve">de </w:t>
      </w:r>
      <w:r>
        <w:rPr>
          <w:rFonts w:ascii="Corbel" w:hAnsi="Corbel"/>
          <w:w w:val="105"/>
          <w:sz w:val="24"/>
          <w:szCs w:val="24"/>
          <w:lang w:val="fr-CA"/>
        </w:rPr>
        <w:t>demander la rectification de ses renseignements personnels sur la santé.</w:t>
      </w:r>
    </w:p>
    <w:p w:rsidR="00D1651C" w:rsidRDefault="00D1651C" w:rsidP="00D1651C">
      <w:pPr>
        <w:pStyle w:val="BodyText"/>
        <w:spacing w:before="10" w:line="248" w:lineRule="auto"/>
        <w:ind w:left="426" w:right="129" w:hanging="426"/>
        <w:rPr>
          <w:rFonts w:ascii="Corbel" w:hAnsi="Corbel"/>
          <w:w w:val="105"/>
          <w:sz w:val="24"/>
          <w:szCs w:val="24"/>
          <w:lang w:val="fr-CA"/>
        </w:rPr>
      </w:pPr>
    </w:p>
    <w:p w:rsidR="00D1651C" w:rsidRDefault="00D1651C" w:rsidP="00FE0201">
      <w:pPr>
        <w:pStyle w:val="BodyText"/>
        <w:numPr>
          <w:ilvl w:val="0"/>
          <w:numId w:val="6"/>
        </w:numPr>
        <w:spacing w:before="10" w:line="248" w:lineRule="auto"/>
        <w:ind w:left="426" w:right="129" w:hanging="426"/>
        <w:rPr>
          <w:rFonts w:ascii="Corbel" w:hAnsi="Corbel"/>
          <w:w w:val="105"/>
          <w:sz w:val="24"/>
          <w:szCs w:val="24"/>
          <w:lang w:val="fr-CA"/>
        </w:rPr>
      </w:pPr>
      <w:r>
        <w:rPr>
          <w:rFonts w:ascii="Corbel" w:hAnsi="Corbel"/>
          <w:w w:val="105"/>
          <w:sz w:val="24"/>
          <w:szCs w:val="24"/>
          <w:lang w:val="fr-CA"/>
        </w:rPr>
        <w:t xml:space="preserve">Pour demander une rectification, le client </w:t>
      </w:r>
      <w:r w:rsidR="005E19C7">
        <w:rPr>
          <w:rFonts w:ascii="Corbel" w:hAnsi="Corbel"/>
          <w:w w:val="105"/>
          <w:sz w:val="24"/>
          <w:szCs w:val="24"/>
          <w:lang w:val="fr-CA"/>
        </w:rPr>
        <w:t>fait une demande par écrit et le soumet au Responsable des besoins complexes</w:t>
      </w:r>
    </w:p>
    <w:p w:rsidR="00D1651C" w:rsidRDefault="00D1651C" w:rsidP="00FE0201">
      <w:pPr>
        <w:pStyle w:val="BodyText"/>
        <w:spacing w:before="10" w:line="248" w:lineRule="auto"/>
        <w:ind w:left="426" w:right="129" w:hanging="426"/>
        <w:rPr>
          <w:rFonts w:ascii="Corbel" w:hAnsi="Corbel"/>
          <w:w w:val="105"/>
          <w:sz w:val="24"/>
          <w:szCs w:val="24"/>
          <w:lang w:val="fr-CA"/>
        </w:rPr>
      </w:pPr>
    </w:p>
    <w:p w:rsidR="00D1651C" w:rsidRPr="00C06E0C" w:rsidRDefault="00D1651C" w:rsidP="00FE0201">
      <w:pPr>
        <w:pStyle w:val="ListParagraph"/>
        <w:numPr>
          <w:ilvl w:val="0"/>
          <w:numId w:val="6"/>
        </w:numPr>
        <w:shd w:val="clear" w:color="auto" w:fill="FFFFFF"/>
        <w:spacing w:after="158" w:line="240" w:lineRule="auto"/>
        <w:ind w:left="426" w:hanging="426"/>
        <w:rPr>
          <w:rFonts w:ascii="Corbel" w:eastAsia="Arial Narrow" w:hAnsi="Corbel" w:cstheme="minorBidi"/>
          <w:w w:val="105"/>
          <w:sz w:val="24"/>
          <w:szCs w:val="24"/>
          <w:lang w:val="fr-CA"/>
        </w:rPr>
      </w:pPr>
      <w:r w:rsidRPr="00C06E0C">
        <w:rPr>
          <w:rFonts w:ascii="Corbel" w:eastAsia="Arial Narrow" w:hAnsi="Corbel" w:cstheme="minorBidi"/>
          <w:w w:val="105"/>
          <w:sz w:val="24"/>
          <w:szCs w:val="24"/>
          <w:lang w:val="fr-CA"/>
        </w:rPr>
        <w:t>Si le client a un mandataire spécial qui est autorisé à consentir en votre nom, ce mandataire peut présenter la demande pour le client.</w:t>
      </w:r>
    </w:p>
    <w:p w:rsidR="00D1651C" w:rsidRPr="00C06E0C" w:rsidRDefault="00D1651C" w:rsidP="00FE0201">
      <w:pPr>
        <w:pStyle w:val="ListParagraph"/>
        <w:shd w:val="clear" w:color="auto" w:fill="FFFFFF"/>
        <w:spacing w:after="158" w:line="240" w:lineRule="auto"/>
        <w:ind w:left="426" w:hanging="426"/>
        <w:rPr>
          <w:rFonts w:ascii="Corbel" w:eastAsia="Arial Narrow" w:hAnsi="Corbel" w:cstheme="minorBidi"/>
          <w:w w:val="105"/>
          <w:sz w:val="24"/>
          <w:szCs w:val="24"/>
          <w:lang w:val="fr-CA"/>
        </w:rPr>
      </w:pPr>
    </w:p>
    <w:p w:rsidR="00D1651C" w:rsidRPr="00C06E0C" w:rsidRDefault="00D1651C" w:rsidP="00FE0201">
      <w:pPr>
        <w:pStyle w:val="ListParagraph"/>
        <w:numPr>
          <w:ilvl w:val="0"/>
          <w:numId w:val="6"/>
        </w:numPr>
        <w:shd w:val="clear" w:color="auto" w:fill="FFFFFF"/>
        <w:spacing w:after="158" w:line="240" w:lineRule="auto"/>
        <w:ind w:left="426" w:hanging="426"/>
        <w:rPr>
          <w:rFonts w:ascii="Corbel" w:eastAsia="Arial Narrow" w:hAnsi="Corbel" w:cstheme="minorBidi"/>
          <w:w w:val="105"/>
          <w:sz w:val="24"/>
          <w:szCs w:val="24"/>
          <w:lang w:val="fr-CA"/>
        </w:rPr>
      </w:pPr>
      <w:r w:rsidRPr="00C06E0C">
        <w:rPr>
          <w:rFonts w:ascii="Corbel" w:eastAsia="Arial Narrow" w:hAnsi="Corbel" w:cstheme="minorBidi"/>
          <w:w w:val="105"/>
          <w:sz w:val="24"/>
          <w:szCs w:val="24"/>
          <w:lang w:val="fr-CA"/>
        </w:rPr>
        <w:t xml:space="preserve">Selon les circonstances, </w:t>
      </w:r>
      <w:r>
        <w:rPr>
          <w:rFonts w:ascii="Corbel" w:eastAsia="Arial Narrow" w:hAnsi="Corbel" w:cstheme="minorBidi"/>
          <w:w w:val="105"/>
          <w:sz w:val="24"/>
          <w:szCs w:val="24"/>
          <w:lang w:val="fr-CA"/>
        </w:rPr>
        <w:t>CAH</w:t>
      </w:r>
      <w:r w:rsidRPr="00C06E0C">
        <w:rPr>
          <w:rFonts w:ascii="Corbel" w:eastAsia="Arial Narrow" w:hAnsi="Corbel" w:cstheme="minorBidi"/>
          <w:w w:val="105"/>
          <w:sz w:val="24"/>
          <w:szCs w:val="24"/>
          <w:lang w:val="fr-CA"/>
        </w:rPr>
        <w:t xml:space="preserve"> dispose de 30 à 60 jours pour répondre à la demande.</w:t>
      </w:r>
    </w:p>
    <w:p w:rsidR="00D1651C" w:rsidRPr="00C06E0C" w:rsidRDefault="00D1651C" w:rsidP="00FE0201">
      <w:pPr>
        <w:pStyle w:val="ListParagraph"/>
        <w:shd w:val="clear" w:color="auto" w:fill="FFFFFF"/>
        <w:spacing w:after="158" w:line="240" w:lineRule="auto"/>
        <w:ind w:left="426" w:hanging="426"/>
        <w:rPr>
          <w:rFonts w:ascii="Corbel" w:eastAsia="Arial Narrow" w:hAnsi="Corbel" w:cstheme="minorBidi"/>
          <w:w w:val="105"/>
          <w:sz w:val="24"/>
          <w:szCs w:val="24"/>
          <w:lang w:val="fr-CA"/>
        </w:rPr>
      </w:pPr>
    </w:p>
    <w:p w:rsidR="00D1651C" w:rsidRPr="00C06E0C" w:rsidRDefault="00D1651C" w:rsidP="00FE0201">
      <w:pPr>
        <w:pStyle w:val="ListParagraph"/>
        <w:numPr>
          <w:ilvl w:val="0"/>
          <w:numId w:val="6"/>
        </w:numPr>
        <w:shd w:val="clear" w:color="auto" w:fill="FFFFFF"/>
        <w:spacing w:after="158" w:line="240" w:lineRule="auto"/>
        <w:ind w:left="426" w:hanging="426"/>
        <w:rPr>
          <w:rFonts w:ascii="Arial" w:hAnsi="Arial" w:cs="Arial"/>
          <w:color w:val="3F3F3F"/>
          <w:spacing w:val="6"/>
          <w:sz w:val="21"/>
          <w:szCs w:val="21"/>
          <w:lang w:val="fr-CA" w:eastAsia="en-CA"/>
        </w:rPr>
      </w:pPr>
      <w:r>
        <w:rPr>
          <w:rFonts w:ascii="Corbel" w:eastAsia="Arial Narrow" w:hAnsi="Corbel" w:cstheme="minorBidi"/>
          <w:w w:val="105"/>
          <w:sz w:val="24"/>
          <w:szCs w:val="24"/>
          <w:lang w:val="fr-CA"/>
        </w:rPr>
        <w:t xml:space="preserve">CAH doit rectifier le </w:t>
      </w:r>
      <w:r w:rsidRPr="00C06E0C">
        <w:rPr>
          <w:rFonts w:ascii="Corbel" w:eastAsia="Arial Narrow" w:hAnsi="Corbel" w:cstheme="minorBidi"/>
          <w:w w:val="105"/>
          <w:sz w:val="24"/>
          <w:szCs w:val="24"/>
          <w:lang w:val="fr-CA"/>
        </w:rPr>
        <w:t xml:space="preserve">dossier de renseignements personnels sur la santé si </w:t>
      </w:r>
      <w:r>
        <w:rPr>
          <w:rFonts w:ascii="Corbel" w:eastAsia="Arial Narrow" w:hAnsi="Corbel" w:cstheme="minorBidi"/>
          <w:w w:val="105"/>
          <w:sz w:val="24"/>
          <w:szCs w:val="24"/>
          <w:lang w:val="fr-CA"/>
        </w:rPr>
        <w:t>le client peut</w:t>
      </w:r>
      <w:r w:rsidRPr="00C06E0C">
        <w:rPr>
          <w:rFonts w:ascii="Corbel" w:eastAsia="Arial Narrow" w:hAnsi="Corbel" w:cstheme="minorBidi"/>
          <w:w w:val="105"/>
          <w:sz w:val="24"/>
          <w:szCs w:val="24"/>
          <w:lang w:val="fr-CA"/>
        </w:rPr>
        <w:t xml:space="preserve"> démontr</w:t>
      </w:r>
      <w:r>
        <w:rPr>
          <w:rFonts w:ascii="Corbel" w:eastAsia="Arial Narrow" w:hAnsi="Corbel" w:cstheme="minorBidi"/>
          <w:w w:val="105"/>
          <w:sz w:val="24"/>
          <w:szCs w:val="24"/>
          <w:lang w:val="fr-CA"/>
        </w:rPr>
        <w:t>er, à sa satisfaction, que le</w:t>
      </w:r>
      <w:r w:rsidRPr="00C06E0C">
        <w:rPr>
          <w:rFonts w:ascii="Corbel" w:eastAsia="Arial Narrow" w:hAnsi="Corbel" w:cstheme="minorBidi"/>
          <w:w w:val="105"/>
          <w:sz w:val="24"/>
          <w:szCs w:val="24"/>
          <w:lang w:val="fr-CA"/>
        </w:rPr>
        <w:t xml:space="preserve"> dossier est incomplet o</w:t>
      </w:r>
      <w:r>
        <w:rPr>
          <w:rFonts w:ascii="Corbel" w:eastAsia="Arial Narrow" w:hAnsi="Corbel" w:cstheme="minorBidi"/>
          <w:w w:val="105"/>
          <w:sz w:val="24"/>
          <w:szCs w:val="24"/>
          <w:lang w:val="fr-CA"/>
        </w:rPr>
        <w:t>u inexact aux fins auxquelles CAH</w:t>
      </w:r>
      <w:r w:rsidRPr="00C06E0C">
        <w:rPr>
          <w:rFonts w:ascii="Corbel" w:eastAsia="Arial Narrow" w:hAnsi="Corbel" w:cstheme="minorBidi"/>
          <w:w w:val="105"/>
          <w:sz w:val="24"/>
          <w:szCs w:val="24"/>
          <w:lang w:val="fr-CA"/>
        </w:rPr>
        <w:t xml:space="preserve"> utilise le</w:t>
      </w:r>
      <w:r>
        <w:rPr>
          <w:rFonts w:ascii="Corbel" w:eastAsia="Arial Narrow" w:hAnsi="Corbel" w:cstheme="minorBidi"/>
          <w:w w:val="105"/>
          <w:sz w:val="24"/>
          <w:szCs w:val="24"/>
          <w:lang w:val="fr-CA"/>
        </w:rPr>
        <w:t>s renseignements contenus dans l</w:t>
      </w:r>
      <w:r w:rsidRPr="00C06E0C">
        <w:rPr>
          <w:rFonts w:ascii="Corbel" w:eastAsia="Arial Narrow" w:hAnsi="Corbel" w:cstheme="minorBidi"/>
          <w:w w:val="105"/>
          <w:sz w:val="24"/>
          <w:szCs w:val="24"/>
          <w:lang w:val="fr-CA"/>
        </w:rPr>
        <w:t>e dossier. </w:t>
      </w:r>
    </w:p>
    <w:p w:rsidR="00D1651C" w:rsidRPr="00C06E0C" w:rsidRDefault="00D1651C" w:rsidP="00FE0201">
      <w:pPr>
        <w:pStyle w:val="ListParagraph"/>
        <w:ind w:left="426" w:hanging="426"/>
        <w:rPr>
          <w:rFonts w:ascii="Corbel" w:eastAsia="Arial Narrow" w:hAnsi="Corbel" w:cstheme="minorBidi"/>
          <w:w w:val="105"/>
          <w:sz w:val="24"/>
          <w:szCs w:val="24"/>
          <w:lang w:val="fr-CA"/>
        </w:rPr>
      </w:pPr>
    </w:p>
    <w:p w:rsidR="00D1651C" w:rsidRPr="001B002B" w:rsidRDefault="00D1651C" w:rsidP="00FE0201">
      <w:pPr>
        <w:pStyle w:val="ListParagraph"/>
        <w:numPr>
          <w:ilvl w:val="0"/>
          <w:numId w:val="6"/>
        </w:numPr>
        <w:shd w:val="clear" w:color="auto" w:fill="FFFFFF"/>
        <w:spacing w:after="158" w:line="240" w:lineRule="auto"/>
        <w:ind w:left="426" w:hanging="426"/>
        <w:rPr>
          <w:rFonts w:ascii="Arial" w:hAnsi="Arial" w:cs="Arial"/>
          <w:color w:val="3F3F3F"/>
          <w:spacing w:val="6"/>
          <w:sz w:val="21"/>
          <w:szCs w:val="21"/>
          <w:lang w:val="fr-CA" w:eastAsia="en-CA"/>
        </w:rPr>
      </w:pPr>
      <w:r>
        <w:rPr>
          <w:rFonts w:ascii="Corbel" w:eastAsia="Arial Narrow" w:hAnsi="Corbel" w:cstheme="minorBidi"/>
          <w:w w:val="105"/>
          <w:sz w:val="24"/>
          <w:szCs w:val="24"/>
          <w:lang w:val="fr-CA"/>
        </w:rPr>
        <w:t xml:space="preserve">Le client doit également </w:t>
      </w:r>
      <w:r w:rsidRPr="00C06E0C">
        <w:rPr>
          <w:rFonts w:ascii="Corbel" w:eastAsia="Arial Narrow" w:hAnsi="Corbel" w:cstheme="minorBidi"/>
          <w:w w:val="105"/>
          <w:sz w:val="24"/>
          <w:szCs w:val="24"/>
          <w:lang w:val="fr-CA"/>
        </w:rPr>
        <w:t xml:space="preserve">fournir les renseignements nécessaires pour rectifier le dossier. </w:t>
      </w:r>
    </w:p>
    <w:p w:rsidR="00D1651C" w:rsidRDefault="00D1651C" w:rsidP="00FE0201">
      <w:pPr>
        <w:pStyle w:val="ListParagraph"/>
        <w:shd w:val="clear" w:color="auto" w:fill="FFFFFF"/>
        <w:spacing w:after="0" w:line="240" w:lineRule="auto"/>
        <w:ind w:left="426" w:hanging="426"/>
        <w:rPr>
          <w:rFonts w:ascii="Corbel" w:eastAsia="Arial Narrow" w:hAnsi="Corbel" w:cstheme="minorBidi"/>
          <w:w w:val="105"/>
          <w:sz w:val="24"/>
          <w:szCs w:val="24"/>
          <w:lang w:val="fr-CA"/>
        </w:rPr>
      </w:pPr>
    </w:p>
    <w:p w:rsidR="00D1651C" w:rsidRDefault="00D1651C" w:rsidP="00FE0201">
      <w:pPr>
        <w:pStyle w:val="ListParagraph"/>
        <w:numPr>
          <w:ilvl w:val="0"/>
          <w:numId w:val="6"/>
        </w:numPr>
        <w:shd w:val="clear" w:color="auto" w:fill="FFFFFF"/>
        <w:spacing w:after="0" w:line="240" w:lineRule="auto"/>
        <w:ind w:left="426" w:hanging="426"/>
        <w:rPr>
          <w:rFonts w:ascii="Corbel" w:eastAsia="Arial Narrow" w:hAnsi="Corbel" w:cstheme="minorBidi"/>
          <w:w w:val="105"/>
          <w:sz w:val="24"/>
          <w:szCs w:val="24"/>
          <w:lang w:val="fr-CA"/>
        </w:rPr>
      </w:pPr>
      <w:r>
        <w:rPr>
          <w:rFonts w:ascii="Corbel" w:eastAsia="Arial Narrow" w:hAnsi="Corbel" w:cstheme="minorBidi"/>
          <w:w w:val="105"/>
          <w:sz w:val="24"/>
          <w:szCs w:val="24"/>
          <w:lang w:val="fr-CA"/>
        </w:rPr>
        <w:t>La</w:t>
      </w:r>
      <w:r w:rsidRPr="00D750C0">
        <w:rPr>
          <w:rFonts w:ascii="Corbel" w:eastAsia="Arial Narrow" w:hAnsi="Corbel" w:cstheme="minorBidi"/>
          <w:w w:val="105"/>
          <w:sz w:val="24"/>
          <w:szCs w:val="24"/>
          <w:lang w:val="fr-CA"/>
        </w:rPr>
        <w:t xml:space="preserve"> demande </w:t>
      </w:r>
      <w:r>
        <w:rPr>
          <w:rFonts w:ascii="Corbel" w:eastAsia="Arial Narrow" w:hAnsi="Corbel" w:cstheme="minorBidi"/>
          <w:w w:val="105"/>
          <w:sz w:val="24"/>
          <w:szCs w:val="24"/>
          <w:lang w:val="fr-CA"/>
        </w:rPr>
        <w:t xml:space="preserve">du client </w:t>
      </w:r>
      <w:r w:rsidRPr="00D750C0">
        <w:rPr>
          <w:rFonts w:ascii="Corbel" w:eastAsia="Arial Narrow" w:hAnsi="Corbel" w:cstheme="minorBidi"/>
          <w:w w:val="105"/>
          <w:sz w:val="24"/>
          <w:szCs w:val="24"/>
          <w:lang w:val="fr-CA"/>
        </w:rPr>
        <w:t>de rect</w:t>
      </w:r>
      <w:r>
        <w:rPr>
          <w:rFonts w:ascii="Corbel" w:eastAsia="Arial Narrow" w:hAnsi="Corbel" w:cstheme="minorBidi"/>
          <w:w w:val="105"/>
          <w:sz w:val="24"/>
          <w:szCs w:val="24"/>
          <w:lang w:val="fr-CA"/>
        </w:rPr>
        <w:t>ification pourrait être rejetée par CAH quoi que CAH doi</w:t>
      </w:r>
      <w:r w:rsidRPr="00D750C0">
        <w:rPr>
          <w:rFonts w:ascii="Corbel" w:eastAsia="Arial Narrow" w:hAnsi="Corbel" w:cstheme="minorBidi"/>
          <w:w w:val="105"/>
          <w:sz w:val="24"/>
          <w:szCs w:val="24"/>
          <w:lang w:val="fr-CA"/>
        </w:rPr>
        <w:t>t rectifier un dossier i</w:t>
      </w:r>
      <w:r>
        <w:rPr>
          <w:rFonts w:ascii="Corbel" w:eastAsia="Arial Narrow" w:hAnsi="Corbel" w:cstheme="minorBidi"/>
          <w:w w:val="105"/>
          <w:sz w:val="24"/>
          <w:szCs w:val="24"/>
          <w:lang w:val="fr-CA"/>
        </w:rPr>
        <w:t>ncomplet ou inexact, mais n’est</w:t>
      </w:r>
      <w:r w:rsidRPr="00D750C0">
        <w:rPr>
          <w:rFonts w:ascii="Corbel" w:eastAsia="Arial Narrow" w:hAnsi="Corbel" w:cstheme="minorBidi"/>
          <w:w w:val="105"/>
          <w:sz w:val="24"/>
          <w:szCs w:val="24"/>
          <w:lang w:val="fr-CA"/>
        </w:rPr>
        <w:t xml:space="preserve"> pas tenu de modifier des opinions professionnelles ni de rectifier des dossiers qu’ils n’ont pas créés.</w:t>
      </w:r>
    </w:p>
    <w:p w:rsidR="00D1651C" w:rsidRPr="001B002B" w:rsidRDefault="00D1651C" w:rsidP="00FE0201">
      <w:pPr>
        <w:pStyle w:val="ListParagraph"/>
        <w:ind w:left="426" w:hanging="426"/>
        <w:rPr>
          <w:rFonts w:ascii="Corbel" w:eastAsia="Arial Narrow" w:hAnsi="Corbel" w:cstheme="minorBidi"/>
          <w:w w:val="105"/>
          <w:sz w:val="24"/>
          <w:szCs w:val="24"/>
          <w:lang w:val="fr-CA"/>
        </w:rPr>
      </w:pPr>
    </w:p>
    <w:p w:rsidR="00D1651C" w:rsidRDefault="00D1651C" w:rsidP="00FE0201">
      <w:pPr>
        <w:pStyle w:val="ListParagraph"/>
        <w:numPr>
          <w:ilvl w:val="0"/>
          <w:numId w:val="6"/>
        </w:numPr>
        <w:shd w:val="clear" w:color="auto" w:fill="FFFFFF"/>
        <w:spacing w:after="0" w:line="240" w:lineRule="auto"/>
        <w:ind w:left="426" w:hanging="426"/>
        <w:rPr>
          <w:rFonts w:ascii="Corbel" w:eastAsia="Arial Narrow" w:hAnsi="Corbel" w:cstheme="minorBidi"/>
          <w:w w:val="105"/>
          <w:sz w:val="24"/>
          <w:szCs w:val="24"/>
          <w:lang w:val="fr-CA"/>
        </w:rPr>
      </w:pPr>
      <w:r w:rsidRPr="001B002B">
        <w:rPr>
          <w:rFonts w:ascii="Corbel" w:eastAsia="Arial Narrow" w:hAnsi="Corbel" w:cstheme="minorBidi"/>
          <w:w w:val="105"/>
          <w:sz w:val="24"/>
          <w:szCs w:val="24"/>
          <w:lang w:val="fr-CA"/>
        </w:rPr>
        <w:t xml:space="preserve">Si CAH rejette la demande de rectification, il doit expliquer pourquoi. </w:t>
      </w:r>
    </w:p>
    <w:p w:rsidR="00D1651C" w:rsidRPr="001B002B" w:rsidRDefault="00D1651C" w:rsidP="00FE0201">
      <w:pPr>
        <w:pStyle w:val="ListParagraph"/>
        <w:ind w:left="426" w:hanging="426"/>
        <w:rPr>
          <w:rFonts w:ascii="Corbel" w:eastAsia="Arial Narrow" w:hAnsi="Corbel" w:cstheme="minorBidi"/>
          <w:w w:val="105"/>
          <w:sz w:val="24"/>
          <w:szCs w:val="24"/>
          <w:lang w:val="fr-CA"/>
        </w:rPr>
      </w:pPr>
    </w:p>
    <w:p w:rsidR="00D1651C" w:rsidRDefault="00D1651C" w:rsidP="00FE0201">
      <w:pPr>
        <w:pStyle w:val="ListParagraph"/>
        <w:numPr>
          <w:ilvl w:val="0"/>
          <w:numId w:val="6"/>
        </w:numPr>
        <w:shd w:val="clear" w:color="auto" w:fill="FFFFFF"/>
        <w:spacing w:after="0" w:line="240" w:lineRule="auto"/>
        <w:ind w:left="426" w:hanging="426"/>
        <w:rPr>
          <w:rFonts w:ascii="Corbel" w:eastAsia="Arial Narrow" w:hAnsi="Corbel" w:cstheme="minorBidi"/>
          <w:w w:val="105"/>
          <w:sz w:val="24"/>
          <w:szCs w:val="24"/>
          <w:lang w:val="fr-CA"/>
        </w:rPr>
      </w:pPr>
      <w:r w:rsidRPr="001B002B">
        <w:rPr>
          <w:rFonts w:ascii="Corbel" w:eastAsia="Arial Narrow" w:hAnsi="Corbel" w:cstheme="minorBidi"/>
          <w:w w:val="105"/>
          <w:sz w:val="24"/>
          <w:szCs w:val="24"/>
          <w:lang w:val="fr-CA"/>
        </w:rPr>
        <w:t>À ce moment, le client a le droit d’avoir joint à son dossier une déclaration de désaccord.</w:t>
      </w:r>
    </w:p>
    <w:p w:rsidR="00D1651C" w:rsidRPr="001B002B" w:rsidRDefault="00D1651C" w:rsidP="00FE0201">
      <w:pPr>
        <w:pStyle w:val="ListParagraph"/>
        <w:ind w:left="426" w:hanging="426"/>
        <w:rPr>
          <w:rFonts w:ascii="Corbel" w:eastAsia="Arial Narrow" w:hAnsi="Corbel" w:cstheme="minorBidi"/>
          <w:w w:val="105"/>
          <w:sz w:val="24"/>
          <w:szCs w:val="24"/>
          <w:lang w:val="fr-CA"/>
        </w:rPr>
      </w:pPr>
    </w:p>
    <w:p w:rsidR="00D1651C" w:rsidRPr="001B002B" w:rsidRDefault="00D1651C" w:rsidP="00FE0201">
      <w:pPr>
        <w:pStyle w:val="ListParagraph"/>
        <w:numPr>
          <w:ilvl w:val="0"/>
          <w:numId w:val="6"/>
        </w:numPr>
        <w:shd w:val="clear" w:color="auto" w:fill="FFFFFF"/>
        <w:spacing w:after="0" w:line="240" w:lineRule="auto"/>
        <w:ind w:left="426" w:hanging="426"/>
        <w:rPr>
          <w:rFonts w:ascii="Corbel" w:eastAsia="Arial Narrow" w:hAnsi="Corbel" w:cstheme="minorBidi"/>
          <w:w w:val="105"/>
          <w:sz w:val="24"/>
          <w:szCs w:val="24"/>
          <w:lang w:val="fr-CA"/>
        </w:rPr>
      </w:pPr>
      <w:r>
        <w:rPr>
          <w:rFonts w:ascii="Corbel" w:eastAsia="Arial Narrow" w:hAnsi="Corbel" w:cstheme="minorBidi"/>
          <w:w w:val="105"/>
          <w:sz w:val="24"/>
          <w:szCs w:val="24"/>
          <w:lang w:val="fr-CA"/>
        </w:rPr>
        <w:t xml:space="preserve">De plus, si la </w:t>
      </w:r>
      <w:r w:rsidRPr="001B002B">
        <w:rPr>
          <w:rFonts w:ascii="Corbel" w:eastAsia="Arial Narrow" w:hAnsi="Corbel" w:cstheme="minorBidi"/>
          <w:w w:val="105"/>
          <w:sz w:val="24"/>
          <w:szCs w:val="24"/>
          <w:lang w:val="fr-CA"/>
        </w:rPr>
        <w:t xml:space="preserve">demande de rectification est rejetée, </w:t>
      </w:r>
      <w:r>
        <w:rPr>
          <w:rFonts w:ascii="Corbel" w:eastAsia="Arial Narrow" w:hAnsi="Corbel" w:cstheme="minorBidi"/>
          <w:w w:val="105"/>
          <w:sz w:val="24"/>
          <w:szCs w:val="24"/>
          <w:lang w:val="fr-CA"/>
        </w:rPr>
        <w:t>le client (ou son mandataire spécial)  peut</w:t>
      </w:r>
      <w:r w:rsidRPr="001B002B">
        <w:rPr>
          <w:rFonts w:ascii="Corbel" w:eastAsia="Arial Narrow" w:hAnsi="Corbel" w:cstheme="minorBidi"/>
          <w:w w:val="105"/>
          <w:sz w:val="24"/>
          <w:szCs w:val="24"/>
          <w:lang w:val="fr-CA"/>
        </w:rPr>
        <w:t xml:space="preserve"> porter plainte au C</w:t>
      </w:r>
      <w:r>
        <w:rPr>
          <w:rFonts w:ascii="Corbel" w:eastAsia="Arial Narrow" w:hAnsi="Corbel" w:cstheme="minorBidi"/>
          <w:w w:val="105"/>
          <w:sz w:val="24"/>
          <w:szCs w:val="24"/>
          <w:lang w:val="fr-CA"/>
        </w:rPr>
        <w:t>ommissaire à l’information et à la protection de la vie privée</w:t>
      </w:r>
      <w:r w:rsidR="00B35974">
        <w:rPr>
          <w:rFonts w:ascii="Corbel" w:eastAsia="Arial Narrow" w:hAnsi="Corbel" w:cstheme="minorBidi"/>
          <w:w w:val="105"/>
          <w:sz w:val="24"/>
          <w:szCs w:val="24"/>
          <w:lang w:val="fr-CA"/>
        </w:rPr>
        <w:t xml:space="preserve"> </w:t>
      </w:r>
      <w:r>
        <w:rPr>
          <w:rFonts w:ascii="Corbel" w:eastAsia="Arial Narrow" w:hAnsi="Corbel" w:cstheme="minorBidi"/>
          <w:w w:val="105"/>
          <w:sz w:val="24"/>
          <w:szCs w:val="24"/>
          <w:lang w:val="fr-CA"/>
        </w:rPr>
        <w:t xml:space="preserve">: </w:t>
      </w:r>
    </w:p>
    <w:p w:rsidR="00D1651C" w:rsidRDefault="00D1651C" w:rsidP="00D1651C">
      <w:pPr>
        <w:pStyle w:val="ListParagraph"/>
        <w:shd w:val="clear" w:color="auto" w:fill="FFFFFF"/>
        <w:spacing w:after="0" w:line="240" w:lineRule="auto"/>
        <w:ind w:left="1701"/>
        <w:rPr>
          <w:rFonts w:ascii="Corbel" w:eastAsia="Arial Narrow" w:hAnsi="Corbel" w:cstheme="minorBidi"/>
          <w:w w:val="105"/>
          <w:sz w:val="24"/>
          <w:szCs w:val="24"/>
          <w:lang w:val="fr-CA"/>
        </w:rPr>
      </w:pPr>
      <w:r w:rsidRPr="00C06E0C">
        <w:rPr>
          <w:rFonts w:ascii="Corbel" w:eastAsia="Arial Narrow" w:hAnsi="Corbel" w:cstheme="minorBidi"/>
          <w:w w:val="105"/>
          <w:sz w:val="24"/>
          <w:szCs w:val="24"/>
          <w:lang w:val="fr-CA"/>
        </w:rPr>
        <w:lastRenderedPageBreak/>
        <w:t>Commissaire à l’information et à la Protection de la vie privée de l’Ontario</w:t>
      </w:r>
    </w:p>
    <w:p w:rsidR="00D1651C" w:rsidRDefault="00D1651C" w:rsidP="00D1651C">
      <w:pPr>
        <w:shd w:val="clear" w:color="auto" w:fill="FFFFFF"/>
        <w:spacing w:after="0" w:line="240" w:lineRule="auto"/>
        <w:ind w:left="1701"/>
        <w:rPr>
          <w:rFonts w:ascii="Corbel" w:eastAsia="Arial Narrow" w:hAnsi="Corbel" w:cstheme="minorBidi"/>
          <w:w w:val="105"/>
          <w:sz w:val="24"/>
          <w:szCs w:val="24"/>
          <w:lang w:val="en-CA"/>
        </w:rPr>
      </w:pPr>
      <w:r w:rsidRPr="001B002B">
        <w:rPr>
          <w:rFonts w:ascii="Corbel" w:eastAsia="Arial Narrow" w:hAnsi="Corbel" w:cstheme="minorBidi"/>
          <w:w w:val="105"/>
          <w:sz w:val="24"/>
          <w:szCs w:val="24"/>
          <w:lang w:val="en-CA"/>
        </w:rPr>
        <w:t xml:space="preserve">2 Bloor Street East, Suite 1400 </w:t>
      </w:r>
    </w:p>
    <w:p w:rsidR="00D1651C" w:rsidRDefault="00D1651C" w:rsidP="00D1651C">
      <w:pPr>
        <w:shd w:val="clear" w:color="auto" w:fill="FFFFFF"/>
        <w:spacing w:after="0" w:line="240" w:lineRule="auto"/>
        <w:ind w:left="1701"/>
        <w:rPr>
          <w:rFonts w:ascii="Corbel" w:eastAsia="Arial Narrow" w:hAnsi="Corbel" w:cstheme="minorBidi"/>
          <w:w w:val="105"/>
          <w:sz w:val="24"/>
          <w:szCs w:val="24"/>
          <w:lang w:val="en-CA"/>
        </w:rPr>
      </w:pPr>
      <w:r w:rsidRPr="001B002B">
        <w:rPr>
          <w:rFonts w:ascii="Corbel" w:eastAsia="Arial Narrow" w:hAnsi="Corbel" w:cstheme="minorBidi"/>
          <w:w w:val="105"/>
          <w:sz w:val="24"/>
          <w:szCs w:val="24"/>
          <w:lang w:val="en-CA"/>
        </w:rPr>
        <w:t>Toronto, ON M4W 1A8</w:t>
      </w:r>
    </w:p>
    <w:p w:rsidR="00D1651C" w:rsidRDefault="00D1651C" w:rsidP="00D1651C">
      <w:pPr>
        <w:shd w:val="clear" w:color="auto" w:fill="FFFFFF"/>
        <w:spacing w:after="0" w:line="240" w:lineRule="auto"/>
        <w:ind w:left="426" w:hanging="426"/>
        <w:rPr>
          <w:rFonts w:ascii="Corbel" w:eastAsia="Arial Narrow" w:hAnsi="Corbel" w:cstheme="minorBidi"/>
          <w:w w:val="105"/>
          <w:sz w:val="24"/>
          <w:szCs w:val="24"/>
          <w:lang w:val="en-CA"/>
        </w:rPr>
      </w:pPr>
    </w:p>
    <w:p w:rsidR="00D1651C" w:rsidRPr="001B002B" w:rsidRDefault="00D1651C" w:rsidP="00D1651C">
      <w:pPr>
        <w:shd w:val="clear" w:color="auto" w:fill="FFFFFF"/>
        <w:spacing w:after="0" w:line="240" w:lineRule="auto"/>
        <w:rPr>
          <w:rFonts w:ascii="Corbel" w:eastAsia="Arial Narrow" w:hAnsi="Corbel" w:cstheme="minorBidi"/>
          <w:w w:val="105"/>
          <w:sz w:val="24"/>
          <w:szCs w:val="24"/>
          <w:lang w:val="en-CA"/>
        </w:rPr>
      </w:pPr>
    </w:p>
    <w:p w:rsidR="00C84546" w:rsidRPr="00D1651C" w:rsidRDefault="00C84546" w:rsidP="00D1651C">
      <w:pPr>
        <w:rPr>
          <w:rFonts w:ascii="Corbel" w:hAnsi="Corbel"/>
          <w:i/>
          <w:sz w:val="24"/>
          <w:szCs w:val="24"/>
          <w:lang w:val="en-CA"/>
        </w:rPr>
      </w:pPr>
    </w:p>
    <w:sectPr w:rsidR="00C84546" w:rsidRPr="00D1651C" w:rsidSect="003436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00" w:rsidRDefault="00343600" w:rsidP="00343600">
      <w:pPr>
        <w:spacing w:after="0" w:line="240" w:lineRule="auto"/>
      </w:pPr>
      <w:r>
        <w:separator/>
      </w:r>
    </w:p>
  </w:endnote>
  <w:endnote w:type="continuationSeparator" w:id="0">
    <w:p w:rsidR="00343600" w:rsidRDefault="00343600" w:rsidP="0034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00" w:rsidRDefault="00343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00" w:rsidRDefault="00343600" w:rsidP="00343600">
    <w:pPr>
      <w:pStyle w:val="Header"/>
    </w:pPr>
  </w:p>
  <w:p w:rsidR="00343600" w:rsidRPr="00343600" w:rsidRDefault="00343600" w:rsidP="00343600">
    <w:pPr>
      <w:tabs>
        <w:tab w:val="left" w:pos="1041"/>
      </w:tabs>
      <w:rPr>
        <w:lang w:val="fr-CA"/>
      </w:rPr>
    </w:pPr>
    <w:r>
      <w:rPr>
        <w:rFonts w:ascii="Corbel" w:hAnsi="Corbel" w:cs="Arial"/>
        <w:sz w:val="20"/>
        <w:szCs w:val="20"/>
        <w:lang w:val="fr-FR"/>
      </w:rPr>
      <w:t>Politique sur la gestion des dossiers clients</w:t>
    </w:r>
    <w:r w:rsidRPr="00F12DCE">
      <w:rPr>
        <w:rFonts w:ascii="Corbel" w:hAnsi="Corbel" w:cs="Arial"/>
        <w:sz w:val="20"/>
        <w:szCs w:val="20"/>
        <w:lang w:val="fr-FR"/>
      </w:rPr>
      <w:t xml:space="preserve">: </w:t>
    </w:r>
    <w:r w:rsidR="00676383">
      <w:rPr>
        <w:rFonts w:ascii="Corbel" w:hAnsi="Corbel" w:cs="Arial"/>
        <w:sz w:val="20"/>
        <w:szCs w:val="20"/>
        <w:lang w:val="fr-FR"/>
      </w:rPr>
      <w:t>DIR-Risque-004-06</w:t>
    </w:r>
    <w:r>
      <w:rPr>
        <w:rFonts w:ascii="Corbel" w:hAnsi="Corbel" w:cs="Arial"/>
        <w:sz w:val="20"/>
        <w:szCs w:val="20"/>
        <w:lang w:val="fr-FR"/>
      </w:rPr>
      <w:tab/>
    </w:r>
    <w:r w:rsidRPr="00F12DCE">
      <w:rPr>
        <w:rFonts w:ascii="Corbel" w:hAnsi="Corbel" w:cs="Arial"/>
        <w:sz w:val="20"/>
        <w:szCs w:val="20"/>
        <w:lang w:val="fr-FR"/>
      </w:rPr>
      <w:tab/>
    </w:r>
    <w:r>
      <w:rPr>
        <w:rFonts w:ascii="Corbel" w:hAnsi="Corbel" w:cs="Arial"/>
        <w:sz w:val="20"/>
        <w:szCs w:val="20"/>
        <w:lang w:val="fr-FR"/>
      </w:rPr>
      <w:tab/>
    </w:r>
    <w:r>
      <w:rPr>
        <w:rFonts w:ascii="Corbel" w:hAnsi="Corbel" w:cs="Arial"/>
        <w:sz w:val="20"/>
        <w:szCs w:val="20"/>
        <w:lang w:val="fr-FR"/>
      </w:rPr>
      <w:tab/>
    </w:r>
    <w:r w:rsidRPr="00F12DCE">
      <w:rPr>
        <w:rFonts w:ascii="Corbel" w:hAnsi="Corbel" w:cs="Arial"/>
        <w:sz w:val="20"/>
        <w:szCs w:val="20"/>
        <w:lang w:val="fr-FR"/>
      </w:rPr>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5D4681">
      <w:rPr>
        <w:rFonts w:ascii="Corbel" w:hAnsi="Corbel" w:cs="Arial"/>
        <w:noProof/>
        <w:sz w:val="20"/>
        <w:szCs w:val="20"/>
        <w:lang w:val="fr-FR"/>
      </w:rPr>
      <w:t>5</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5D4681">
      <w:rPr>
        <w:rStyle w:val="PageNumber"/>
        <w:rFonts w:ascii="Corbel" w:hAnsi="Corbel" w:cs="Arial"/>
        <w:noProof/>
        <w:sz w:val="20"/>
        <w:szCs w:val="20"/>
        <w:lang w:val="fr-FR"/>
      </w:rPr>
      <w:t>5</w:t>
    </w:r>
    <w:r w:rsidRPr="00F12DCE">
      <w:rPr>
        <w:rStyle w:val="PageNumber"/>
        <w:rFonts w:ascii="Corbel" w:hAnsi="Corbel" w:cs="Arial"/>
        <w:sz w:val="20"/>
        <w:szCs w:val="20"/>
        <w:lang w:val="fr-FR"/>
      </w:rPr>
      <w:fldChar w:fldCharType="end"/>
    </w:r>
  </w:p>
  <w:p w:rsidR="00343600" w:rsidRPr="00343600" w:rsidRDefault="00343600">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00" w:rsidRPr="00343600" w:rsidRDefault="00343600" w:rsidP="00343600">
    <w:pPr>
      <w:pStyle w:val="Footer"/>
      <w:rPr>
        <w:lang w:val="fr-CA"/>
      </w:rPr>
    </w:pPr>
    <w:r>
      <w:rPr>
        <w:rFonts w:ascii="Corbel" w:hAnsi="Corbel" w:cs="Arial"/>
        <w:sz w:val="20"/>
        <w:szCs w:val="20"/>
        <w:lang w:val="fr-FR"/>
      </w:rPr>
      <w:t>Politique sur la gestion des dossiers clients</w:t>
    </w:r>
    <w:r w:rsidRPr="00F12DCE">
      <w:rPr>
        <w:rFonts w:ascii="Corbel" w:hAnsi="Corbel" w:cs="Arial"/>
        <w:sz w:val="20"/>
        <w:szCs w:val="20"/>
        <w:lang w:val="fr-FR"/>
      </w:rPr>
      <w:t xml:space="preserve">: </w:t>
    </w:r>
    <w:r w:rsidR="00676383">
      <w:rPr>
        <w:rFonts w:ascii="Corbel" w:hAnsi="Corbel" w:cs="Arial"/>
        <w:sz w:val="20"/>
        <w:szCs w:val="20"/>
        <w:lang w:val="fr-FR"/>
      </w:rPr>
      <w:t>DIR-Risque-004</w:t>
    </w:r>
    <w:r>
      <w:rPr>
        <w:rFonts w:ascii="Corbel" w:hAnsi="Corbel" w:cs="Arial"/>
        <w:sz w:val="20"/>
        <w:szCs w:val="20"/>
        <w:lang w:val="fr-FR"/>
      </w:rPr>
      <w:t>-06</w:t>
    </w:r>
    <w:r w:rsidRPr="00F12DCE">
      <w:rPr>
        <w:rFonts w:ascii="Corbel" w:hAnsi="Corbel" w:cs="Arial"/>
        <w:sz w:val="20"/>
        <w:szCs w:val="20"/>
        <w:lang w:val="fr-FR"/>
      </w:rPr>
      <w:tab/>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5D4681">
      <w:rPr>
        <w:rFonts w:ascii="Corbel" w:hAnsi="Corbel" w:cs="Arial"/>
        <w:noProof/>
        <w:sz w:val="20"/>
        <w:szCs w:val="20"/>
        <w:lang w:val="fr-FR"/>
      </w:rPr>
      <w:t>1</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5D4681">
      <w:rPr>
        <w:rStyle w:val="PageNumber"/>
        <w:rFonts w:ascii="Corbel" w:hAnsi="Corbel" w:cs="Arial"/>
        <w:noProof/>
        <w:sz w:val="20"/>
        <w:szCs w:val="20"/>
        <w:lang w:val="fr-FR"/>
      </w:rPr>
      <w:t>5</w:t>
    </w:r>
    <w:r w:rsidRPr="00F12DCE">
      <w:rPr>
        <w:rStyle w:val="PageNumber"/>
        <w:rFonts w:ascii="Corbel" w:hAnsi="Corbel" w:cs="Arial"/>
        <w:sz w:val="20"/>
        <w:szCs w:val="20"/>
        <w:lang w:val="fr-FR"/>
      </w:rPr>
      <w:fldChar w:fldCharType="end"/>
    </w:r>
  </w:p>
  <w:p w:rsidR="00343600" w:rsidRPr="00343600" w:rsidRDefault="00343600">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00" w:rsidRDefault="00343600" w:rsidP="00343600">
      <w:pPr>
        <w:spacing w:after="0" w:line="240" w:lineRule="auto"/>
      </w:pPr>
      <w:r>
        <w:separator/>
      </w:r>
    </w:p>
  </w:footnote>
  <w:footnote w:type="continuationSeparator" w:id="0">
    <w:p w:rsidR="00343600" w:rsidRDefault="00343600" w:rsidP="0034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00" w:rsidRDefault="00343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600" w:rsidRDefault="00343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Layout w:type="fixed"/>
      <w:tblCellMar>
        <w:left w:w="70" w:type="dxa"/>
        <w:right w:w="70" w:type="dxa"/>
      </w:tblCellMar>
      <w:tblLook w:val="0000" w:firstRow="0" w:lastRow="0" w:firstColumn="0" w:lastColumn="0" w:noHBand="0" w:noVBand="0"/>
    </w:tblPr>
    <w:tblGrid>
      <w:gridCol w:w="1484"/>
      <w:gridCol w:w="2686"/>
      <w:gridCol w:w="854"/>
      <w:gridCol w:w="2098"/>
      <w:gridCol w:w="161"/>
      <w:gridCol w:w="2441"/>
    </w:tblGrid>
    <w:tr w:rsidR="00343600" w:rsidRPr="005D4681" w:rsidTr="00687BBA">
      <w:trPr>
        <w:cantSplit/>
        <w:trHeight w:val="416"/>
      </w:trPr>
      <w:tc>
        <w:tcPr>
          <w:tcW w:w="763" w:type="pct"/>
          <w:vMerge w:val="restart"/>
          <w:tcBorders>
            <w:top w:val="single" w:sz="4" w:space="0" w:color="000000"/>
            <w:left w:val="single" w:sz="4" w:space="0" w:color="000000"/>
          </w:tcBorders>
          <w:shd w:val="clear" w:color="auto" w:fill="auto"/>
          <w:vAlign w:val="center"/>
        </w:tcPr>
        <w:p w:rsidR="00343600" w:rsidRPr="001D1C63" w:rsidRDefault="005D4681" w:rsidP="00343600">
          <w:pPr>
            <w:snapToGrid w:val="0"/>
            <w:jc w:val="center"/>
            <w:rPr>
              <w:rFonts w:ascii="Corbel" w:hAnsi="Corbel"/>
              <w:lang w:val="fr-FR"/>
            </w:rPr>
          </w:pPr>
          <w:r>
            <w:rPr>
              <w:noProof/>
              <w:lang w:eastAsia="en-CA"/>
            </w:rPr>
            <w:drawing>
              <wp:inline distT="0" distB="0" distL="0" distR="0" wp14:anchorId="4446E718" wp14:editId="6F1C4FFE">
                <wp:extent cx="889619" cy="630820"/>
                <wp:effectExtent l="0" t="0" r="6350" b="0"/>
                <wp:docPr id="1" name="Picture 1"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882" cy="651570"/>
                        </a:xfrm>
                        <a:prstGeom prst="rect">
                          <a:avLst/>
                        </a:prstGeom>
                        <a:noFill/>
                        <a:ln>
                          <a:noFill/>
                        </a:ln>
                      </pic:spPr>
                    </pic:pic>
                  </a:graphicData>
                </a:graphic>
              </wp:inline>
            </w:drawing>
          </w:r>
          <w:bookmarkStart w:id="1" w:name="_GoBack"/>
          <w:bookmarkEnd w:id="1"/>
        </w:p>
      </w:tc>
      <w:tc>
        <w:tcPr>
          <w:tcW w:w="423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43600" w:rsidRPr="001D1C63" w:rsidRDefault="00343600" w:rsidP="00343600">
          <w:pPr>
            <w:rPr>
              <w:rFonts w:ascii="Corbel" w:hAnsi="Corbel"/>
              <w:b/>
              <w:lang w:val="fr-FR"/>
            </w:rPr>
          </w:pPr>
          <w:r w:rsidRPr="00676383">
            <w:rPr>
              <w:rFonts w:ascii="Corbel" w:hAnsi="Corbel"/>
              <w:b/>
              <w:sz w:val="24"/>
              <w:szCs w:val="24"/>
              <w:lang w:val="fr-FR"/>
            </w:rPr>
            <w:t xml:space="preserve">POLITIQUES ET PROCÉDURES  </w:t>
          </w:r>
          <w:r w:rsidR="00676383">
            <w:rPr>
              <w:rFonts w:ascii="Corbel" w:hAnsi="Corbel" w:cs="Arial"/>
              <w:b/>
              <w:lang w:val="fr-FR"/>
            </w:rPr>
            <w:t>- DIRECTION</w:t>
          </w:r>
          <w:r w:rsidRPr="00676383">
            <w:rPr>
              <w:rFonts w:ascii="Corbel" w:hAnsi="Corbel" w:cs="Arial"/>
              <w:b/>
              <w:lang w:val="fr-FR"/>
            </w:rPr>
            <w:t xml:space="preserve">               </w:t>
          </w:r>
          <w:r w:rsidR="00676383">
            <w:rPr>
              <w:rFonts w:ascii="Corbel" w:hAnsi="Corbel" w:cs="Arial"/>
              <w:b/>
              <w:lang w:val="fr-FR"/>
            </w:rPr>
            <w:t xml:space="preserve">      </w:t>
          </w:r>
          <w:r w:rsidRPr="00676383">
            <w:rPr>
              <w:rFonts w:ascii="Corbel" w:hAnsi="Corbel" w:cs="Arial"/>
              <w:b/>
              <w:lang w:val="fr-FR"/>
            </w:rPr>
            <w:t xml:space="preserve">                 </w:t>
          </w:r>
          <w:r w:rsidR="00676383">
            <w:rPr>
              <w:rFonts w:ascii="Corbel" w:hAnsi="Corbel" w:cs="Arial"/>
              <w:b/>
              <w:lang w:val="fr-FR"/>
            </w:rPr>
            <w:t>DIR-Risque-004</w:t>
          </w:r>
          <w:r>
            <w:rPr>
              <w:rFonts w:ascii="Corbel" w:hAnsi="Corbel" w:cs="Arial"/>
              <w:b/>
              <w:lang w:val="fr-FR"/>
            </w:rPr>
            <w:t>-06</w:t>
          </w:r>
        </w:p>
      </w:tc>
    </w:tr>
    <w:tr w:rsidR="00343600" w:rsidRPr="009E7A13" w:rsidTr="00687BBA">
      <w:trPr>
        <w:cantSplit/>
        <w:trHeight w:val="559"/>
      </w:trPr>
      <w:tc>
        <w:tcPr>
          <w:tcW w:w="763" w:type="pct"/>
          <w:vMerge/>
          <w:tcBorders>
            <w:top w:val="single" w:sz="4" w:space="0" w:color="000000"/>
            <w:left w:val="single" w:sz="4" w:space="0" w:color="000000"/>
          </w:tcBorders>
          <w:shd w:val="clear" w:color="auto" w:fill="auto"/>
          <w:vAlign w:val="center"/>
        </w:tcPr>
        <w:p w:rsidR="00343600" w:rsidRPr="001D1C63" w:rsidRDefault="00343600" w:rsidP="00343600">
          <w:pPr>
            <w:snapToGrid w:val="0"/>
            <w:jc w:val="center"/>
            <w:rPr>
              <w:rFonts w:ascii="Corbel" w:hAnsi="Corbel"/>
              <w:noProof/>
              <w:lang w:val="fr-CA" w:eastAsia="en-CA"/>
            </w:rPr>
          </w:pPr>
        </w:p>
      </w:tc>
      <w:tc>
        <w:tcPr>
          <w:tcW w:w="1820" w:type="pct"/>
          <w:gridSpan w:val="2"/>
          <w:tcBorders>
            <w:top w:val="single" w:sz="4" w:space="0" w:color="000000"/>
            <w:left w:val="single" w:sz="4" w:space="0" w:color="000000"/>
            <w:bottom w:val="single" w:sz="4" w:space="0" w:color="000000"/>
          </w:tcBorders>
          <w:shd w:val="clear" w:color="auto" w:fill="auto"/>
        </w:tcPr>
        <w:p w:rsidR="00343600" w:rsidRPr="001D1C63" w:rsidRDefault="00676383" w:rsidP="00343600">
          <w:pPr>
            <w:rPr>
              <w:rFonts w:ascii="Corbel" w:hAnsi="Corbel" w:cs="Arial"/>
              <w:b/>
              <w:lang w:val="fr-FR"/>
            </w:rPr>
          </w:pPr>
          <w:r>
            <w:rPr>
              <w:rFonts w:ascii="Corbel" w:hAnsi="Corbel" w:cs="Arial"/>
              <w:b/>
              <w:lang w:val="fr-FR"/>
            </w:rPr>
            <w:t>Risque</w:t>
          </w:r>
        </w:p>
      </w:tc>
      <w:tc>
        <w:tcPr>
          <w:tcW w:w="2417" w:type="pct"/>
          <w:gridSpan w:val="3"/>
          <w:tcBorders>
            <w:top w:val="single" w:sz="4" w:space="0" w:color="000000"/>
            <w:left w:val="single" w:sz="4" w:space="0" w:color="000000"/>
            <w:bottom w:val="single" w:sz="4" w:space="0" w:color="000000"/>
            <w:right w:val="single" w:sz="4" w:space="0" w:color="000000"/>
          </w:tcBorders>
          <w:shd w:val="clear" w:color="auto" w:fill="auto"/>
        </w:tcPr>
        <w:p w:rsidR="00343600" w:rsidRPr="001D1C63" w:rsidRDefault="00343600" w:rsidP="00343600">
          <w:pPr>
            <w:rPr>
              <w:rFonts w:ascii="Corbel" w:hAnsi="Corbel" w:cs="Arial"/>
              <w:b/>
              <w:lang w:val="fr-FR"/>
            </w:rPr>
          </w:pPr>
          <w:r>
            <w:rPr>
              <w:rFonts w:ascii="Corbel" w:hAnsi="Corbel" w:cs="Arial"/>
              <w:b/>
              <w:lang w:val="fr-FR"/>
            </w:rPr>
            <w:t>La vie privée</w:t>
          </w:r>
        </w:p>
      </w:tc>
    </w:tr>
    <w:tr w:rsidR="00343600" w:rsidRPr="001D1C63" w:rsidTr="00687BBA">
      <w:trPr>
        <w:cantSplit/>
        <w:trHeight w:val="1106"/>
      </w:trPr>
      <w:tc>
        <w:tcPr>
          <w:tcW w:w="763" w:type="pct"/>
          <w:vMerge/>
          <w:tcBorders>
            <w:top w:val="single" w:sz="4" w:space="0" w:color="000000"/>
            <w:left w:val="single" w:sz="4" w:space="0" w:color="000000"/>
          </w:tcBorders>
          <w:shd w:val="clear" w:color="auto" w:fill="auto"/>
          <w:vAlign w:val="center"/>
        </w:tcPr>
        <w:p w:rsidR="00343600" w:rsidRPr="001D1C63" w:rsidRDefault="00343600" w:rsidP="00343600">
          <w:pPr>
            <w:snapToGrid w:val="0"/>
            <w:jc w:val="center"/>
            <w:rPr>
              <w:rFonts w:ascii="Corbel" w:hAnsi="Corbel"/>
              <w:noProof/>
              <w:lang w:val="fr-CA" w:eastAsia="en-CA"/>
            </w:rPr>
          </w:pPr>
        </w:p>
      </w:tc>
      <w:tc>
        <w:tcPr>
          <w:tcW w:w="1381" w:type="pct"/>
          <w:tcBorders>
            <w:top w:val="single" w:sz="4" w:space="0" w:color="000000"/>
            <w:left w:val="single" w:sz="4" w:space="0" w:color="000000"/>
            <w:bottom w:val="single" w:sz="4" w:space="0" w:color="000000"/>
            <w:right w:val="single" w:sz="4" w:space="0" w:color="000000"/>
          </w:tcBorders>
          <w:shd w:val="clear" w:color="auto" w:fill="auto"/>
        </w:tcPr>
        <w:p w:rsidR="00343600" w:rsidRPr="001D1C63" w:rsidRDefault="00343600" w:rsidP="00343600">
          <w:pPr>
            <w:rPr>
              <w:rFonts w:ascii="Corbel" w:hAnsi="Corbel" w:cs="Arial"/>
              <w:b/>
              <w:color w:val="FF0000"/>
              <w:lang w:val="fr-FR"/>
            </w:rPr>
          </w:pPr>
          <w:r w:rsidRPr="001D1C63">
            <w:rPr>
              <w:rFonts w:ascii="Corbel" w:hAnsi="Corbel" w:cs="Arial"/>
              <w:b/>
              <w:lang w:val="fr-FR"/>
            </w:rPr>
            <w:t xml:space="preserve">Adopté par la direction </w:t>
          </w:r>
          <w:r w:rsidRPr="001D1C63">
            <w:rPr>
              <w:rFonts w:ascii="Corbel" w:hAnsi="Corbel" w:cs="Arial"/>
              <w:lang w:val="fr-FR"/>
            </w:rPr>
            <w:t xml:space="preserve">: </w:t>
          </w:r>
        </w:p>
        <w:p w:rsidR="00343600" w:rsidRPr="001D1C63" w:rsidRDefault="00343600" w:rsidP="00343600">
          <w:pPr>
            <w:rPr>
              <w:rFonts w:ascii="Corbel" w:hAnsi="Corbel" w:cs="Arial"/>
              <w:lang w:val="fr-FR"/>
            </w:rPr>
          </w:pPr>
          <w:r w:rsidRPr="001D1C63">
            <w:rPr>
              <w:rFonts w:ascii="Corbel" w:hAnsi="Corbel" w:cs="Arial"/>
              <w:b/>
              <w:color w:val="FF0000"/>
              <w:lang w:val="fr-FR"/>
            </w:rPr>
            <w:t xml:space="preserve"> </w:t>
          </w:r>
        </w:p>
        <w:p w:rsidR="00343600" w:rsidRPr="001D1C63" w:rsidRDefault="00343600" w:rsidP="00343600">
          <w:pPr>
            <w:jc w:val="center"/>
            <w:rPr>
              <w:rFonts w:ascii="Corbel" w:hAnsi="Corbel" w:cs="Arial"/>
              <w:b/>
              <w:color w:val="FF0000"/>
              <w:lang w:val="fr-FR"/>
            </w:rPr>
          </w:pPr>
          <w:r w:rsidRPr="001D1C63">
            <w:rPr>
              <w:rFonts w:ascii="Corbel" w:hAnsi="Corbel" w:cs="Arial"/>
              <w:lang w:val="fr-FR"/>
            </w:rPr>
            <w:t xml:space="preserve">Janvier 2018 </w:t>
          </w:r>
        </w:p>
      </w:tc>
      <w:tc>
        <w:tcPr>
          <w:tcW w:w="1601" w:type="pct"/>
          <w:gridSpan w:val="3"/>
          <w:tcBorders>
            <w:top w:val="single" w:sz="4" w:space="0" w:color="000000"/>
            <w:left w:val="single" w:sz="4" w:space="0" w:color="000000"/>
            <w:bottom w:val="single" w:sz="4" w:space="0" w:color="000000"/>
            <w:right w:val="single" w:sz="4" w:space="0" w:color="000000"/>
          </w:tcBorders>
          <w:shd w:val="clear" w:color="auto" w:fill="auto"/>
        </w:tcPr>
        <w:p w:rsidR="00343600" w:rsidRPr="001D1C63" w:rsidRDefault="00343600" w:rsidP="00343600">
          <w:pPr>
            <w:rPr>
              <w:rFonts w:ascii="Corbel" w:hAnsi="Corbel" w:cs="Arial"/>
              <w:color w:val="FF0000"/>
              <w:lang w:val="fr-FR"/>
            </w:rPr>
          </w:pPr>
          <w:r w:rsidRPr="001D1C63">
            <w:rPr>
              <w:rFonts w:ascii="Corbel" w:hAnsi="Corbel" w:cs="Arial"/>
              <w:b/>
              <w:lang w:val="fr-FR"/>
            </w:rPr>
            <w:t xml:space="preserve">Approbation : </w:t>
          </w:r>
          <w:r w:rsidRPr="001D1C63">
            <w:rPr>
              <w:rFonts w:ascii="Corbel" w:hAnsi="Corbel" w:cs="Arial"/>
              <w:lang w:val="fr-FR"/>
            </w:rPr>
            <w:t xml:space="preserve">Barbara Ceccarelli </w:t>
          </w:r>
        </w:p>
        <w:p w:rsidR="00343600" w:rsidRPr="001D1C63" w:rsidRDefault="00343600" w:rsidP="00343600">
          <w:pPr>
            <w:rPr>
              <w:rFonts w:ascii="Corbel" w:hAnsi="Corbel" w:cs="Arial"/>
              <w:b/>
              <w:color w:val="FF0000"/>
              <w:lang w:val="fr-FR"/>
            </w:rPr>
          </w:pPr>
        </w:p>
        <w:p w:rsidR="00343600" w:rsidRPr="001D1C63" w:rsidRDefault="00343600" w:rsidP="00343600">
          <w:pPr>
            <w:jc w:val="center"/>
            <w:rPr>
              <w:rFonts w:ascii="Corbel" w:hAnsi="Corbel" w:cs="Arial"/>
              <w:color w:val="FF0000"/>
              <w:lang w:val="fr-FR"/>
            </w:rPr>
          </w:pPr>
          <w:r w:rsidRPr="001D1C63">
            <w:rPr>
              <w:rFonts w:ascii="Corbel" w:hAnsi="Corbel"/>
              <w:noProof/>
              <w:lang w:val="en-CA" w:eastAsia="en-CA"/>
            </w:rPr>
            <w:drawing>
              <wp:inline distT="0" distB="0" distL="0" distR="0" wp14:anchorId="1F3AE3C5" wp14:editId="3140AD0C">
                <wp:extent cx="845494"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845494" cy="457200"/>
                        </a:xfrm>
                        <a:prstGeom prst="rect">
                          <a:avLst/>
                        </a:prstGeom>
                      </pic:spPr>
                    </pic:pic>
                  </a:graphicData>
                </a:graphic>
              </wp:inline>
            </w:drawing>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rsidR="00343600" w:rsidRPr="001D1C63" w:rsidRDefault="00343600" w:rsidP="00343600">
          <w:pPr>
            <w:rPr>
              <w:rFonts w:ascii="Corbel" w:hAnsi="Corbel" w:cs="Arial"/>
              <w:b/>
              <w:lang w:val="fr-CA"/>
            </w:rPr>
          </w:pPr>
          <w:r w:rsidRPr="001D1C63">
            <w:rPr>
              <w:rFonts w:ascii="Corbel" w:hAnsi="Corbel" w:cs="Arial"/>
              <w:b/>
              <w:lang w:val="fr-CA"/>
            </w:rPr>
            <w:t xml:space="preserve">À renouveler </w:t>
          </w:r>
          <w:r>
            <w:rPr>
              <w:rFonts w:ascii="Corbel" w:hAnsi="Corbel" w:cs="Arial"/>
              <w:b/>
              <w:lang w:val="fr-CA"/>
            </w:rPr>
            <w:t>À CHAQUE ANNÉE</w:t>
          </w:r>
          <w:r w:rsidRPr="001D1C63">
            <w:rPr>
              <w:rFonts w:ascii="Corbel" w:hAnsi="Corbel" w:cs="Arial"/>
              <w:b/>
              <w:lang w:val="fr-CA"/>
            </w:rPr>
            <w:t xml:space="preserve">: </w:t>
          </w:r>
        </w:p>
        <w:p w:rsidR="00343600" w:rsidRPr="001D1C63" w:rsidRDefault="00343600" w:rsidP="00343600">
          <w:pPr>
            <w:rPr>
              <w:rFonts w:ascii="Corbel" w:hAnsi="Corbel" w:cs="Arial"/>
              <w:b/>
              <w:lang w:val="fr-CA"/>
            </w:rPr>
          </w:pPr>
        </w:p>
        <w:p w:rsidR="00343600" w:rsidRPr="001D1C63" w:rsidRDefault="00343600" w:rsidP="00343600">
          <w:pPr>
            <w:jc w:val="center"/>
            <w:rPr>
              <w:rFonts w:ascii="Corbel" w:hAnsi="Corbel" w:cs="Arial"/>
              <w:b/>
              <w:lang w:val="fr-CA"/>
            </w:rPr>
          </w:pPr>
          <w:r>
            <w:rPr>
              <w:rFonts w:ascii="Corbel" w:hAnsi="Corbel" w:cs="Arial"/>
              <w:lang w:val="fr-FR"/>
            </w:rPr>
            <w:t>Janvier 2019</w:t>
          </w:r>
        </w:p>
      </w:tc>
    </w:tr>
    <w:tr w:rsidR="00343600" w:rsidRPr="005E19C7" w:rsidTr="00687BBA">
      <w:trPr>
        <w:cantSplit/>
        <w:trHeight w:val="3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498"/>
          </w:tblGrid>
          <w:tr w:rsidR="00343600" w:rsidRPr="005E19C7" w:rsidTr="00687BBA">
            <w:trPr>
              <w:trHeight w:val="104"/>
            </w:trPr>
            <w:tc>
              <w:tcPr>
                <w:tcW w:w="9498" w:type="dxa"/>
              </w:tcPr>
              <w:p w:rsidR="00343600" w:rsidRPr="001D1C63" w:rsidRDefault="00343600" w:rsidP="00343600">
                <w:pPr>
                  <w:pStyle w:val="Default"/>
                  <w:rPr>
                    <w:rFonts w:ascii="Corbel" w:hAnsi="Corbel"/>
                    <w:b/>
                    <w:bCs/>
                  </w:rPr>
                </w:pPr>
                <w:r>
                  <w:rPr>
                    <w:rFonts w:ascii="Corbel" w:hAnsi="Corbel"/>
                    <w:b/>
                    <w:bCs/>
                  </w:rPr>
                  <w:t xml:space="preserve">TITRE :             Politique </w:t>
                </w:r>
                <w:r w:rsidRPr="001D1C63">
                  <w:rPr>
                    <w:rFonts w:ascii="Corbel" w:hAnsi="Corbel"/>
                    <w:b/>
                    <w:bCs/>
                  </w:rPr>
                  <w:t xml:space="preserve">sur </w:t>
                </w:r>
                <w:r>
                  <w:rPr>
                    <w:rFonts w:ascii="Corbel" w:hAnsi="Corbel"/>
                    <w:b/>
                    <w:bCs/>
                  </w:rPr>
                  <w:t>la gestion des dossiers clients</w:t>
                </w:r>
                <w:r w:rsidRPr="001D1C63">
                  <w:rPr>
                    <w:rFonts w:ascii="Corbel" w:hAnsi="Corbel"/>
                    <w:b/>
                    <w:bCs/>
                  </w:rPr>
                  <w:t xml:space="preserve"> </w:t>
                </w:r>
              </w:p>
            </w:tc>
          </w:tr>
        </w:tbl>
        <w:p w:rsidR="00343600" w:rsidRPr="001D1C63" w:rsidRDefault="00343600" w:rsidP="00343600">
          <w:pPr>
            <w:rPr>
              <w:rFonts w:ascii="Corbel" w:hAnsi="Corbel" w:cs="Arial"/>
              <w:lang w:val="fr-CA"/>
            </w:rPr>
          </w:pPr>
        </w:p>
      </w:tc>
    </w:tr>
    <w:tr w:rsidR="00343600" w:rsidRPr="001D1C63" w:rsidTr="00687BBA">
      <w:trPr>
        <w:cantSplit/>
        <w:trHeight w:val="36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343600" w:rsidRPr="001D1C63" w:rsidRDefault="00343600" w:rsidP="00343600">
          <w:pPr>
            <w:rPr>
              <w:rFonts w:ascii="Corbel" w:hAnsi="Corbel" w:cs="Arial"/>
              <w:b/>
              <w:bCs/>
              <w:lang w:val="fr-CA"/>
            </w:rPr>
          </w:pPr>
          <w:r w:rsidRPr="001D1C63">
            <w:rPr>
              <w:rFonts w:ascii="Corbel" w:hAnsi="Corbel"/>
              <w:b/>
              <w:bCs/>
              <w:lang w:val="fr-CA"/>
            </w:rPr>
            <w:t>CONCERNE :</w:t>
          </w:r>
          <w:r w:rsidRPr="001D1C63">
            <w:rPr>
              <w:rFonts w:ascii="Corbel" w:hAnsi="Corbel"/>
              <w:bCs/>
              <w:lang w:val="fr-CA"/>
            </w:rPr>
            <w:t xml:space="preserve">  Employés</w:t>
          </w:r>
        </w:p>
      </w:tc>
    </w:tr>
    <w:tr w:rsidR="00343600" w:rsidRPr="001D1C63" w:rsidTr="00687BBA">
      <w:trPr>
        <w:cantSplit/>
        <w:trHeight w:val="337"/>
      </w:trPr>
      <w:tc>
        <w:tcPr>
          <w:tcW w:w="3662" w:type="pct"/>
          <w:gridSpan w:val="4"/>
          <w:tcBorders>
            <w:top w:val="single" w:sz="4" w:space="0" w:color="000000"/>
            <w:left w:val="single" w:sz="4" w:space="0" w:color="000000"/>
            <w:bottom w:val="single" w:sz="4" w:space="0" w:color="000000"/>
            <w:right w:val="single" w:sz="4" w:space="0" w:color="000000"/>
          </w:tcBorders>
          <w:shd w:val="clear" w:color="auto" w:fill="auto"/>
        </w:tcPr>
        <w:p w:rsidR="00343600" w:rsidRDefault="00343600" w:rsidP="00343600">
          <w:pPr>
            <w:pStyle w:val="NoSpacing"/>
            <w:jc w:val="both"/>
            <w:rPr>
              <w:rFonts w:ascii="Corbel" w:hAnsi="Corbel" w:cs="Arial"/>
              <w:bCs/>
              <w:i/>
              <w:sz w:val="20"/>
              <w:szCs w:val="20"/>
              <w:lang w:val="fr-CA"/>
            </w:rPr>
          </w:pPr>
          <w:r w:rsidRPr="00F12DCE">
            <w:rPr>
              <w:rFonts w:ascii="Corbel" w:hAnsi="Corbel" w:cs="Arial"/>
              <w:bCs/>
              <w:i/>
              <w:sz w:val="20"/>
              <w:szCs w:val="20"/>
              <w:lang w:val="fr-CA"/>
            </w:rPr>
            <w:t>NOTE : Cette politique est assujettie à</w:t>
          </w:r>
          <w:r>
            <w:rPr>
              <w:rFonts w:ascii="Corbel" w:hAnsi="Corbel" w:cs="Arial"/>
              <w:bCs/>
              <w:i/>
              <w:sz w:val="20"/>
              <w:szCs w:val="20"/>
              <w:lang w:val="fr-CA"/>
            </w:rPr>
            <w:t> :</w:t>
          </w:r>
        </w:p>
        <w:p w:rsidR="00343600" w:rsidRPr="00CE7485" w:rsidRDefault="00343600" w:rsidP="00343600">
          <w:pPr>
            <w:pStyle w:val="NoSpacing"/>
            <w:jc w:val="both"/>
            <w:rPr>
              <w:rFonts w:ascii="Corbel" w:hAnsi="Corbel" w:cs="Arial"/>
              <w:bCs/>
              <w:i/>
              <w:sz w:val="20"/>
              <w:szCs w:val="20"/>
              <w:lang w:val="fr-CA"/>
            </w:rPr>
          </w:pPr>
          <w:r w:rsidRPr="00F12DCE">
            <w:rPr>
              <w:rFonts w:ascii="Corbel" w:hAnsi="Corbel" w:cs="Arial"/>
              <w:bCs/>
              <w:i/>
              <w:sz w:val="20"/>
              <w:szCs w:val="20"/>
              <w:lang w:val="fr-CA"/>
            </w:rPr>
            <w:t xml:space="preserve"> </w:t>
          </w:r>
          <w:r w:rsidRPr="00CE7485">
            <w:rPr>
              <w:rFonts w:ascii="Corbel" w:hAnsi="Corbel" w:cs="Arial"/>
              <w:bCs/>
              <w:i/>
              <w:sz w:val="20"/>
              <w:szCs w:val="20"/>
              <w:lang w:val="fr-CA"/>
            </w:rPr>
            <w:t>Loi de 2004 sur la protection des renseignements personnels sur la santé (L.O. 2004, c.3, Annexe A).</w:t>
          </w:r>
        </w:p>
        <w:p w:rsidR="00343600" w:rsidRPr="00CE7485" w:rsidRDefault="00343600" w:rsidP="00343600">
          <w:pPr>
            <w:pStyle w:val="NoSpacing"/>
            <w:jc w:val="both"/>
            <w:rPr>
              <w:rFonts w:ascii="Corbel" w:hAnsi="Corbel" w:cs="Arial"/>
              <w:bCs/>
              <w:i/>
              <w:sz w:val="20"/>
              <w:szCs w:val="20"/>
              <w:lang w:val="fr-CA"/>
            </w:rPr>
          </w:pPr>
          <w:r w:rsidRPr="00CE7485">
            <w:rPr>
              <w:rFonts w:ascii="Corbel" w:hAnsi="Corbel" w:cs="Arial"/>
              <w:bCs/>
              <w:i/>
              <w:sz w:val="20"/>
              <w:szCs w:val="20"/>
              <w:lang w:val="fr-CA"/>
            </w:rPr>
            <w:t>Loi sur la protection des renseignements personnels et les documents électroniques (L.C. 2000, c.5).</w:t>
          </w:r>
        </w:p>
      </w:tc>
      <w:tc>
        <w:tcPr>
          <w:tcW w:w="1338" w:type="pct"/>
          <w:gridSpan w:val="2"/>
          <w:tcBorders>
            <w:top w:val="single" w:sz="4" w:space="0" w:color="000000"/>
            <w:left w:val="single" w:sz="4" w:space="0" w:color="000000"/>
            <w:bottom w:val="single" w:sz="4" w:space="0" w:color="000000"/>
            <w:right w:val="single" w:sz="4" w:space="0" w:color="000000"/>
          </w:tcBorders>
          <w:shd w:val="clear" w:color="auto" w:fill="auto"/>
        </w:tcPr>
        <w:p w:rsidR="00343600" w:rsidRPr="001D1C63" w:rsidRDefault="00343600" w:rsidP="00343600">
          <w:pPr>
            <w:tabs>
              <w:tab w:val="left" w:pos="1162"/>
            </w:tabs>
            <w:rPr>
              <w:rFonts w:ascii="Corbel" w:hAnsi="Corbel" w:cs="Arial"/>
              <w:b/>
              <w:bCs/>
              <w:lang w:val="fr-CA"/>
            </w:rPr>
          </w:pPr>
          <w:r w:rsidRPr="001D1C63">
            <w:rPr>
              <w:rFonts w:ascii="Corbel" w:hAnsi="Corbel" w:cs="Arial"/>
              <w:b/>
              <w:bCs/>
              <w:lang w:val="fr-CA"/>
            </w:rPr>
            <w:t>Norme :</w:t>
          </w:r>
          <w:r w:rsidRPr="001D1C63">
            <w:rPr>
              <w:rFonts w:ascii="Corbel" w:hAnsi="Corbel" w:cs="Arial"/>
              <w:b/>
              <w:bCs/>
              <w:lang w:val="fr-CA"/>
            </w:rPr>
            <w:tab/>
          </w:r>
        </w:p>
      </w:tc>
    </w:tr>
  </w:tbl>
  <w:p w:rsidR="00343600" w:rsidRDefault="00343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C80"/>
    <w:multiLevelType w:val="hybridMultilevel"/>
    <w:tmpl w:val="F7C4DF96"/>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 w15:restartNumberingAfterBreak="0">
    <w:nsid w:val="19CA209F"/>
    <w:multiLevelType w:val="hybridMultilevel"/>
    <w:tmpl w:val="4D645FE8"/>
    <w:lvl w:ilvl="0" w:tplc="1009000F">
      <w:start w:val="1"/>
      <w:numFmt w:val="decimal"/>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2" w15:restartNumberingAfterBreak="0">
    <w:nsid w:val="2E1B04BB"/>
    <w:multiLevelType w:val="hybridMultilevel"/>
    <w:tmpl w:val="35D214C0"/>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15:restartNumberingAfterBreak="0">
    <w:nsid w:val="31AF475A"/>
    <w:multiLevelType w:val="hybridMultilevel"/>
    <w:tmpl w:val="281073A2"/>
    <w:lvl w:ilvl="0" w:tplc="0C0C0011">
      <w:start w:val="1"/>
      <w:numFmt w:val="decimal"/>
      <w:lvlText w:val="%1)"/>
      <w:lvlJc w:val="left"/>
      <w:pPr>
        <w:ind w:left="1541" w:hanging="360"/>
      </w:pPr>
    </w:lvl>
    <w:lvl w:ilvl="1" w:tplc="0C0C0019" w:tentative="1">
      <w:start w:val="1"/>
      <w:numFmt w:val="lowerLetter"/>
      <w:lvlText w:val="%2."/>
      <w:lvlJc w:val="left"/>
      <w:pPr>
        <w:ind w:left="2261" w:hanging="360"/>
      </w:pPr>
    </w:lvl>
    <w:lvl w:ilvl="2" w:tplc="0C0C001B" w:tentative="1">
      <w:start w:val="1"/>
      <w:numFmt w:val="lowerRoman"/>
      <w:lvlText w:val="%3."/>
      <w:lvlJc w:val="right"/>
      <w:pPr>
        <w:ind w:left="2981" w:hanging="180"/>
      </w:pPr>
    </w:lvl>
    <w:lvl w:ilvl="3" w:tplc="0C0C000F" w:tentative="1">
      <w:start w:val="1"/>
      <w:numFmt w:val="decimal"/>
      <w:lvlText w:val="%4."/>
      <w:lvlJc w:val="left"/>
      <w:pPr>
        <w:ind w:left="3701" w:hanging="360"/>
      </w:pPr>
    </w:lvl>
    <w:lvl w:ilvl="4" w:tplc="0C0C0019" w:tentative="1">
      <w:start w:val="1"/>
      <w:numFmt w:val="lowerLetter"/>
      <w:lvlText w:val="%5."/>
      <w:lvlJc w:val="left"/>
      <w:pPr>
        <w:ind w:left="4421" w:hanging="360"/>
      </w:pPr>
    </w:lvl>
    <w:lvl w:ilvl="5" w:tplc="0C0C001B" w:tentative="1">
      <w:start w:val="1"/>
      <w:numFmt w:val="lowerRoman"/>
      <w:lvlText w:val="%6."/>
      <w:lvlJc w:val="right"/>
      <w:pPr>
        <w:ind w:left="5141" w:hanging="180"/>
      </w:pPr>
    </w:lvl>
    <w:lvl w:ilvl="6" w:tplc="0C0C000F" w:tentative="1">
      <w:start w:val="1"/>
      <w:numFmt w:val="decimal"/>
      <w:lvlText w:val="%7."/>
      <w:lvlJc w:val="left"/>
      <w:pPr>
        <w:ind w:left="5861" w:hanging="360"/>
      </w:pPr>
    </w:lvl>
    <w:lvl w:ilvl="7" w:tplc="0C0C0019" w:tentative="1">
      <w:start w:val="1"/>
      <w:numFmt w:val="lowerLetter"/>
      <w:lvlText w:val="%8."/>
      <w:lvlJc w:val="left"/>
      <w:pPr>
        <w:ind w:left="6581" w:hanging="360"/>
      </w:pPr>
    </w:lvl>
    <w:lvl w:ilvl="8" w:tplc="0C0C001B" w:tentative="1">
      <w:start w:val="1"/>
      <w:numFmt w:val="lowerRoman"/>
      <w:lvlText w:val="%9."/>
      <w:lvlJc w:val="right"/>
      <w:pPr>
        <w:ind w:left="7301" w:hanging="180"/>
      </w:pPr>
    </w:lvl>
  </w:abstractNum>
  <w:abstractNum w:abstractNumId="4" w15:restartNumberingAfterBreak="0">
    <w:nsid w:val="46D1740A"/>
    <w:multiLevelType w:val="hybridMultilevel"/>
    <w:tmpl w:val="CD8C1E32"/>
    <w:lvl w:ilvl="0" w:tplc="0C0C0011">
      <w:start w:val="1"/>
      <w:numFmt w:val="decimal"/>
      <w:lvlText w:val="%1)"/>
      <w:lvlJc w:val="left"/>
      <w:pPr>
        <w:ind w:left="1181" w:hanging="360"/>
      </w:pPr>
    </w:lvl>
    <w:lvl w:ilvl="1" w:tplc="0C0C0019" w:tentative="1">
      <w:start w:val="1"/>
      <w:numFmt w:val="lowerLetter"/>
      <w:lvlText w:val="%2."/>
      <w:lvlJc w:val="left"/>
      <w:pPr>
        <w:ind w:left="1901" w:hanging="360"/>
      </w:pPr>
    </w:lvl>
    <w:lvl w:ilvl="2" w:tplc="0C0C001B" w:tentative="1">
      <w:start w:val="1"/>
      <w:numFmt w:val="lowerRoman"/>
      <w:lvlText w:val="%3."/>
      <w:lvlJc w:val="right"/>
      <w:pPr>
        <w:ind w:left="2621" w:hanging="180"/>
      </w:pPr>
    </w:lvl>
    <w:lvl w:ilvl="3" w:tplc="0C0C000F" w:tentative="1">
      <w:start w:val="1"/>
      <w:numFmt w:val="decimal"/>
      <w:lvlText w:val="%4."/>
      <w:lvlJc w:val="left"/>
      <w:pPr>
        <w:ind w:left="3341" w:hanging="360"/>
      </w:pPr>
    </w:lvl>
    <w:lvl w:ilvl="4" w:tplc="0C0C0019" w:tentative="1">
      <w:start w:val="1"/>
      <w:numFmt w:val="lowerLetter"/>
      <w:lvlText w:val="%5."/>
      <w:lvlJc w:val="left"/>
      <w:pPr>
        <w:ind w:left="4061" w:hanging="360"/>
      </w:pPr>
    </w:lvl>
    <w:lvl w:ilvl="5" w:tplc="0C0C001B" w:tentative="1">
      <w:start w:val="1"/>
      <w:numFmt w:val="lowerRoman"/>
      <w:lvlText w:val="%6."/>
      <w:lvlJc w:val="right"/>
      <w:pPr>
        <w:ind w:left="4781" w:hanging="180"/>
      </w:pPr>
    </w:lvl>
    <w:lvl w:ilvl="6" w:tplc="0C0C000F" w:tentative="1">
      <w:start w:val="1"/>
      <w:numFmt w:val="decimal"/>
      <w:lvlText w:val="%7."/>
      <w:lvlJc w:val="left"/>
      <w:pPr>
        <w:ind w:left="5501" w:hanging="360"/>
      </w:pPr>
    </w:lvl>
    <w:lvl w:ilvl="7" w:tplc="0C0C0019" w:tentative="1">
      <w:start w:val="1"/>
      <w:numFmt w:val="lowerLetter"/>
      <w:lvlText w:val="%8."/>
      <w:lvlJc w:val="left"/>
      <w:pPr>
        <w:ind w:left="6221" w:hanging="360"/>
      </w:pPr>
    </w:lvl>
    <w:lvl w:ilvl="8" w:tplc="0C0C001B" w:tentative="1">
      <w:start w:val="1"/>
      <w:numFmt w:val="lowerRoman"/>
      <w:lvlText w:val="%9."/>
      <w:lvlJc w:val="right"/>
      <w:pPr>
        <w:ind w:left="6941" w:hanging="180"/>
      </w:pPr>
    </w:lvl>
  </w:abstractNum>
  <w:abstractNum w:abstractNumId="5" w15:restartNumberingAfterBreak="0">
    <w:nsid w:val="53E8240E"/>
    <w:multiLevelType w:val="hybridMultilevel"/>
    <w:tmpl w:val="CA967D3A"/>
    <w:lvl w:ilvl="0" w:tplc="10090011">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15:restartNumberingAfterBreak="0">
    <w:nsid w:val="673E7CDF"/>
    <w:multiLevelType w:val="hybridMultilevel"/>
    <w:tmpl w:val="9ED612C2"/>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15:restartNumberingAfterBreak="0">
    <w:nsid w:val="720630A2"/>
    <w:multiLevelType w:val="hybridMultilevel"/>
    <w:tmpl w:val="27B21E90"/>
    <w:lvl w:ilvl="0" w:tplc="1009000F">
      <w:start w:val="1"/>
      <w:numFmt w:val="decimal"/>
      <w:lvlText w:val="%1."/>
      <w:lvlJc w:val="left"/>
      <w:pPr>
        <w:ind w:left="1541" w:hanging="360"/>
      </w:pPr>
    </w:lvl>
    <w:lvl w:ilvl="1" w:tplc="0C0C0019" w:tentative="1">
      <w:start w:val="1"/>
      <w:numFmt w:val="lowerLetter"/>
      <w:lvlText w:val="%2."/>
      <w:lvlJc w:val="left"/>
      <w:pPr>
        <w:ind w:left="2261" w:hanging="360"/>
      </w:pPr>
    </w:lvl>
    <w:lvl w:ilvl="2" w:tplc="0C0C001B" w:tentative="1">
      <w:start w:val="1"/>
      <w:numFmt w:val="lowerRoman"/>
      <w:lvlText w:val="%3."/>
      <w:lvlJc w:val="right"/>
      <w:pPr>
        <w:ind w:left="2981" w:hanging="180"/>
      </w:pPr>
    </w:lvl>
    <w:lvl w:ilvl="3" w:tplc="0C0C000F" w:tentative="1">
      <w:start w:val="1"/>
      <w:numFmt w:val="decimal"/>
      <w:lvlText w:val="%4."/>
      <w:lvlJc w:val="left"/>
      <w:pPr>
        <w:ind w:left="3701" w:hanging="360"/>
      </w:pPr>
    </w:lvl>
    <w:lvl w:ilvl="4" w:tplc="0C0C0019" w:tentative="1">
      <w:start w:val="1"/>
      <w:numFmt w:val="lowerLetter"/>
      <w:lvlText w:val="%5."/>
      <w:lvlJc w:val="left"/>
      <w:pPr>
        <w:ind w:left="4421" w:hanging="360"/>
      </w:pPr>
    </w:lvl>
    <w:lvl w:ilvl="5" w:tplc="0C0C001B" w:tentative="1">
      <w:start w:val="1"/>
      <w:numFmt w:val="lowerRoman"/>
      <w:lvlText w:val="%6."/>
      <w:lvlJc w:val="right"/>
      <w:pPr>
        <w:ind w:left="5141" w:hanging="180"/>
      </w:pPr>
    </w:lvl>
    <w:lvl w:ilvl="6" w:tplc="0C0C000F" w:tentative="1">
      <w:start w:val="1"/>
      <w:numFmt w:val="decimal"/>
      <w:lvlText w:val="%7."/>
      <w:lvlJc w:val="left"/>
      <w:pPr>
        <w:ind w:left="5861" w:hanging="360"/>
      </w:pPr>
    </w:lvl>
    <w:lvl w:ilvl="7" w:tplc="0C0C0019" w:tentative="1">
      <w:start w:val="1"/>
      <w:numFmt w:val="lowerLetter"/>
      <w:lvlText w:val="%8."/>
      <w:lvlJc w:val="left"/>
      <w:pPr>
        <w:ind w:left="6581" w:hanging="360"/>
      </w:pPr>
    </w:lvl>
    <w:lvl w:ilvl="8" w:tplc="0C0C001B" w:tentative="1">
      <w:start w:val="1"/>
      <w:numFmt w:val="lowerRoman"/>
      <w:lvlText w:val="%9."/>
      <w:lvlJc w:val="right"/>
      <w:pPr>
        <w:ind w:left="7301" w:hanging="180"/>
      </w:pPr>
    </w:lvl>
  </w:abstractNum>
  <w:num w:numId="1">
    <w:abstractNumId w:val="7"/>
  </w:num>
  <w:num w:numId="2">
    <w:abstractNumId w:val="3"/>
  </w:num>
  <w:num w:numId="3">
    <w:abstractNumId w:val="5"/>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A5"/>
    <w:rsid w:val="0006726C"/>
    <w:rsid w:val="00086B17"/>
    <w:rsid w:val="001C7FA5"/>
    <w:rsid w:val="00343600"/>
    <w:rsid w:val="00422631"/>
    <w:rsid w:val="004774FB"/>
    <w:rsid w:val="004C5C0E"/>
    <w:rsid w:val="005D4681"/>
    <w:rsid w:val="005E19C7"/>
    <w:rsid w:val="00676383"/>
    <w:rsid w:val="00B35974"/>
    <w:rsid w:val="00C84546"/>
    <w:rsid w:val="00D1651C"/>
    <w:rsid w:val="00D259D4"/>
    <w:rsid w:val="00F2391C"/>
    <w:rsid w:val="00FA732D"/>
    <w:rsid w:val="00FE02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0BCB5-B198-46C7-B777-E34D733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2D"/>
    <w:pPr>
      <w:spacing w:after="200" w:line="276" w:lineRule="auto"/>
    </w:pPr>
    <w:rPr>
      <w:lang w:val="en-US"/>
    </w:rPr>
  </w:style>
  <w:style w:type="paragraph" w:styleId="Heading1">
    <w:name w:val="heading 1"/>
    <w:basedOn w:val="Normal"/>
    <w:link w:val="Heading1Char"/>
    <w:uiPriority w:val="1"/>
    <w:qFormat/>
    <w:locked/>
    <w:rsid w:val="00C84546"/>
    <w:pPr>
      <w:widowControl w:val="0"/>
      <w:spacing w:after="0" w:line="240" w:lineRule="auto"/>
      <w:ind w:left="598" w:hanging="498"/>
      <w:outlineLvl w:val="0"/>
    </w:pPr>
    <w:rPr>
      <w:rFonts w:ascii="Arial Narrow" w:eastAsia="Arial Narrow" w:hAnsi="Arial Narrow"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732D"/>
    <w:pPr>
      <w:widowControl w:val="0"/>
      <w:spacing w:after="0" w:line="240" w:lineRule="auto"/>
    </w:pPr>
    <w:rPr>
      <w:rFonts w:eastAsia="Calibri" w:cs="Calibri"/>
    </w:rPr>
  </w:style>
  <w:style w:type="character" w:styleId="Strong">
    <w:name w:val="Strong"/>
    <w:qFormat/>
    <w:rsid w:val="00FA732D"/>
    <w:rPr>
      <w:rFonts w:cs="Times New Roman"/>
      <w:b/>
      <w:bCs/>
    </w:rPr>
  </w:style>
  <w:style w:type="character" w:styleId="Emphasis">
    <w:name w:val="Emphasis"/>
    <w:basedOn w:val="DefaultParagraphFont"/>
    <w:qFormat/>
    <w:rsid w:val="00FA732D"/>
    <w:rPr>
      <w:i/>
      <w:iCs/>
    </w:rPr>
  </w:style>
  <w:style w:type="paragraph" w:styleId="NoSpacing">
    <w:name w:val="No Spacing"/>
    <w:uiPriority w:val="1"/>
    <w:qFormat/>
    <w:rsid w:val="00FA732D"/>
    <w:rPr>
      <w:lang w:val="en-IE"/>
    </w:rPr>
  </w:style>
  <w:style w:type="paragraph" w:styleId="ListParagraph">
    <w:name w:val="List Paragraph"/>
    <w:basedOn w:val="Normal"/>
    <w:uiPriority w:val="34"/>
    <w:qFormat/>
    <w:rsid w:val="00FA732D"/>
    <w:pPr>
      <w:ind w:left="720"/>
      <w:contextualSpacing/>
    </w:pPr>
  </w:style>
  <w:style w:type="paragraph" w:styleId="BodyText">
    <w:name w:val="Body Text"/>
    <w:basedOn w:val="Normal"/>
    <w:link w:val="BodyTextChar"/>
    <w:uiPriority w:val="1"/>
    <w:qFormat/>
    <w:rsid w:val="001C7FA5"/>
    <w:pPr>
      <w:widowControl w:val="0"/>
      <w:spacing w:after="0" w:line="240" w:lineRule="auto"/>
      <w:ind w:left="821" w:hanging="360"/>
    </w:pPr>
    <w:rPr>
      <w:rFonts w:ascii="Arial Narrow" w:eastAsia="Arial Narrow" w:hAnsi="Arial Narrow" w:cstheme="minorBidi"/>
      <w:sz w:val="23"/>
      <w:szCs w:val="23"/>
    </w:rPr>
  </w:style>
  <w:style w:type="character" w:customStyle="1" w:styleId="BodyTextChar">
    <w:name w:val="Body Text Char"/>
    <w:basedOn w:val="DefaultParagraphFont"/>
    <w:link w:val="BodyText"/>
    <w:uiPriority w:val="1"/>
    <w:rsid w:val="001C7FA5"/>
    <w:rPr>
      <w:rFonts w:ascii="Arial Narrow" w:eastAsia="Arial Narrow" w:hAnsi="Arial Narrow" w:cstheme="minorBidi"/>
      <w:sz w:val="23"/>
      <w:szCs w:val="23"/>
      <w:lang w:val="en-US"/>
    </w:rPr>
  </w:style>
  <w:style w:type="character" w:customStyle="1" w:styleId="Heading1Char">
    <w:name w:val="Heading 1 Char"/>
    <w:basedOn w:val="DefaultParagraphFont"/>
    <w:link w:val="Heading1"/>
    <w:uiPriority w:val="1"/>
    <w:rsid w:val="00C84546"/>
    <w:rPr>
      <w:rFonts w:ascii="Arial Narrow" w:eastAsia="Arial Narrow" w:hAnsi="Arial Narrow" w:cstheme="minorBidi"/>
      <w:b/>
      <w:bCs/>
      <w:sz w:val="23"/>
      <w:szCs w:val="23"/>
      <w:lang w:val="en-US"/>
    </w:rPr>
  </w:style>
  <w:style w:type="paragraph" w:styleId="Header">
    <w:name w:val="header"/>
    <w:basedOn w:val="Normal"/>
    <w:link w:val="HeaderChar"/>
    <w:uiPriority w:val="99"/>
    <w:unhideWhenUsed/>
    <w:rsid w:val="0034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600"/>
    <w:rPr>
      <w:lang w:val="en-US"/>
    </w:rPr>
  </w:style>
  <w:style w:type="paragraph" w:styleId="Footer">
    <w:name w:val="footer"/>
    <w:basedOn w:val="Normal"/>
    <w:link w:val="FooterChar"/>
    <w:uiPriority w:val="99"/>
    <w:unhideWhenUsed/>
    <w:rsid w:val="0034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600"/>
    <w:rPr>
      <w:lang w:val="en-US"/>
    </w:rPr>
  </w:style>
  <w:style w:type="character" w:styleId="PageNumber">
    <w:name w:val="page number"/>
    <w:basedOn w:val="DefaultParagraphFont"/>
    <w:rsid w:val="00343600"/>
  </w:style>
  <w:style w:type="paragraph" w:customStyle="1" w:styleId="Default">
    <w:name w:val="Default"/>
    <w:rsid w:val="003436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E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9C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Legault</dc:creator>
  <cp:lastModifiedBy>Linda Legault</cp:lastModifiedBy>
  <cp:revision>12</cp:revision>
  <dcterms:created xsi:type="dcterms:W3CDTF">2018-03-01T16:42:00Z</dcterms:created>
  <dcterms:modified xsi:type="dcterms:W3CDTF">2018-08-21T01:44:00Z</dcterms:modified>
</cp:coreProperties>
</file>