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51A94" w14:textId="0AF432AF" w:rsidR="007D3285" w:rsidRPr="00560180" w:rsidRDefault="00BB5778" w:rsidP="009A077D">
      <w:pPr>
        <w:pStyle w:val="Default"/>
        <w:tabs>
          <w:tab w:val="left" w:pos="375"/>
          <w:tab w:val="center" w:pos="4680"/>
        </w:tabs>
        <w:rPr>
          <w:rFonts w:ascii="Avenir LT Std 55 Roman" w:hAnsi="Avenir LT Std 55 Roman"/>
          <w:b/>
          <w:smallCaps/>
          <w:color w:val="auto"/>
        </w:rPr>
      </w:pPr>
      <w:bookmarkStart w:id="0" w:name="_Hlk496263279"/>
      <w:r w:rsidRPr="00560180">
        <w:rPr>
          <w:rFonts w:ascii="Avenir LT Std 55 Roman" w:hAnsi="Avenir LT Std 55 Roman"/>
          <w:color w:val="auto"/>
          <w:sz w:val="40"/>
          <w:szCs w:val="40"/>
          <w:lang w:val="fr-CA"/>
        </w:rPr>
        <w:tab/>
      </w:r>
      <w:r w:rsidRPr="00560180">
        <w:rPr>
          <w:rFonts w:ascii="Avenir LT Std 55 Roman" w:hAnsi="Avenir LT Std 55 Roman"/>
          <w:color w:val="auto"/>
          <w:sz w:val="40"/>
          <w:szCs w:val="40"/>
          <w:lang w:val="fr-CA"/>
        </w:rPr>
        <w:tab/>
      </w:r>
      <w:bookmarkEnd w:id="0"/>
    </w:p>
    <w:p w14:paraId="11499794" w14:textId="36AE5C38" w:rsidR="0061558B" w:rsidRPr="00560180" w:rsidRDefault="00236468" w:rsidP="007D3285">
      <w:pPr>
        <w:rPr>
          <w:rFonts w:ascii="Avenir LT Std 55 Roman" w:hAnsi="Avenir LT Std 55 Roman"/>
          <w:b/>
          <w:smallCaps/>
          <w:sz w:val="28"/>
          <w:szCs w:val="28"/>
        </w:rPr>
      </w:pPr>
      <w:r w:rsidRPr="00560180">
        <w:rPr>
          <w:rFonts w:ascii="Avenir LT Std 55 Roman" w:hAnsi="Avenir LT Std 55 Roman"/>
          <w:b/>
          <w:smallCaps/>
          <w:sz w:val="28"/>
          <w:szCs w:val="28"/>
        </w:rPr>
        <w:t>Objet</w:t>
      </w:r>
    </w:p>
    <w:p w14:paraId="5A1494C1" w14:textId="77777777" w:rsidR="00DA68CA" w:rsidRPr="00560180" w:rsidRDefault="00DA68CA" w:rsidP="007D3285">
      <w:pPr>
        <w:rPr>
          <w:rFonts w:ascii="Avenir LT Std 55 Roman" w:hAnsi="Avenir LT Std 55 Roman"/>
          <w:b/>
          <w:smallCaps/>
          <w:sz w:val="28"/>
          <w:szCs w:val="28"/>
        </w:rPr>
      </w:pPr>
    </w:p>
    <w:p w14:paraId="4B89664E" w14:textId="31A954B4" w:rsidR="006E6A39" w:rsidRPr="00560180" w:rsidRDefault="000477FB" w:rsidP="007D3285">
      <w:pPr>
        <w:rPr>
          <w:rFonts w:ascii="Avenir LT Std 55 Roman" w:hAnsi="Avenir LT Std 55 Roman"/>
          <w:sz w:val="22"/>
          <w:szCs w:val="22"/>
        </w:rPr>
      </w:pPr>
      <w:r w:rsidRPr="00560180">
        <w:rPr>
          <w:rFonts w:ascii="Avenir LT Std 55 Roman" w:hAnsi="Avenir LT Std 55 Roman"/>
          <w:sz w:val="22"/>
          <w:szCs w:val="22"/>
        </w:rPr>
        <w:t>Cette politique</w:t>
      </w:r>
      <w:r w:rsidR="00B673EA" w:rsidRPr="00560180">
        <w:rPr>
          <w:rFonts w:ascii="Avenir LT Std 55 Roman" w:hAnsi="Avenir LT Std 55 Roman"/>
          <w:sz w:val="22"/>
          <w:szCs w:val="22"/>
        </w:rPr>
        <w:t xml:space="preserve"> </w:t>
      </w:r>
      <w:r w:rsidRPr="00560180">
        <w:rPr>
          <w:rFonts w:ascii="Avenir LT Std 55 Roman" w:hAnsi="Avenir LT Std 55 Roman"/>
          <w:sz w:val="22"/>
          <w:szCs w:val="22"/>
        </w:rPr>
        <w:t xml:space="preserve">définit le </w:t>
      </w:r>
      <w:r w:rsidR="00DC221C" w:rsidRPr="00560180">
        <w:rPr>
          <w:rFonts w:ascii="Avenir LT Std 55 Roman" w:hAnsi="Avenir LT Std 55 Roman"/>
          <w:sz w:val="22"/>
          <w:szCs w:val="22"/>
        </w:rPr>
        <w:t>processus de recommandation salariale de la Direction générale (</w:t>
      </w:r>
      <w:r w:rsidR="003527F6" w:rsidRPr="00560180">
        <w:rPr>
          <w:rFonts w:ascii="Avenir LT Std 55 Roman" w:hAnsi="Avenir LT Std 55 Roman"/>
          <w:sz w:val="22"/>
          <w:szCs w:val="22"/>
        </w:rPr>
        <w:t>« </w:t>
      </w:r>
      <w:r w:rsidR="00DC221C" w:rsidRPr="00560180">
        <w:rPr>
          <w:rFonts w:ascii="Avenir LT Std 55 Roman" w:hAnsi="Avenir LT Std 55 Roman"/>
          <w:sz w:val="22"/>
          <w:szCs w:val="22"/>
        </w:rPr>
        <w:t>DG</w:t>
      </w:r>
      <w:r w:rsidR="003527F6" w:rsidRPr="00560180">
        <w:rPr>
          <w:rFonts w:ascii="Avenir LT Std 55 Roman" w:hAnsi="Avenir LT Std 55 Roman"/>
          <w:sz w:val="22"/>
          <w:szCs w:val="22"/>
        </w:rPr>
        <w:t> »</w:t>
      </w:r>
      <w:r w:rsidR="00DC221C" w:rsidRPr="00560180">
        <w:rPr>
          <w:rFonts w:ascii="Avenir LT Std 55 Roman" w:hAnsi="Avenir LT Std 55 Roman"/>
          <w:sz w:val="22"/>
          <w:szCs w:val="22"/>
        </w:rPr>
        <w:t xml:space="preserve">) </w:t>
      </w:r>
      <w:r w:rsidRPr="00560180">
        <w:rPr>
          <w:rFonts w:ascii="Avenir LT Std 55 Roman" w:hAnsi="Avenir LT Std 55 Roman"/>
          <w:sz w:val="22"/>
          <w:szCs w:val="22"/>
        </w:rPr>
        <w:t>de Centres d’Accueil Héritage (« CAH »).</w:t>
      </w:r>
    </w:p>
    <w:p w14:paraId="53FE301B" w14:textId="77777777" w:rsidR="000477FB" w:rsidRPr="00560180" w:rsidRDefault="000477FB" w:rsidP="007D3285">
      <w:pPr>
        <w:rPr>
          <w:rFonts w:ascii="Avenir LT Std 55 Roman" w:hAnsi="Avenir LT Std 55 Roman"/>
          <w:sz w:val="22"/>
          <w:szCs w:val="22"/>
        </w:rPr>
      </w:pPr>
    </w:p>
    <w:p w14:paraId="0245D54B" w14:textId="48D7116F" w:rsidR="006E6A39" w:rsidRPr="00560180" w:rsidRDefault="006E6A39" w:rsidP="007D3285">
      <w:pPr>
        <w:rPr>
          <w:rFonts w:ascii="Avenir LT Std 55 Roman" w:hAnsi="Avenir LT Std 55 Roman"/>
          <w:b/>
          <w:smallCaps/>
          <w:sz w:val="28"/>
          <w:szCs w:val="28"/>
        </w:rPr>
      </w:pPr>
      <w:r w:rsidRPr="00560180">
        <w:rPr>
          <w:rFonts w:ascii="Avenir LT Std 55 Roman" w:hAnsi="Avenir LT Std 55 Roman"/>
          <w:b/>
          <w:smallCaps/>
          <w:sz w:val="28"/>
          <w:szCs w:val="28"/>
        </w:rPr>
        <w:t>Politique générale</w:t>
      </w:r>
    </w:p>
    <w:p w14:paraId="7DC49F7E" w14:textId="77777777" w:rsidR="00DA68CA" w:rsidRPr="00560180" w:rsidRDefault="00DA68CA" w:rsidP="007D3285">
      <w:pPr>
        <w:rPr>
          <w:rFonts w:ascii="Avenir LT Std 55 Roman" w:hAnsi="Avenir LT Std 55 Roman"/>
          <w:b/>
          <w:smallCaps/>
          <w:sz w:val="28"/>
          <w:szCs w:val="28"/>
        </w:rPr>
      </w:pPr>
    </w:p>
    <w:p w14:paraId="7D3108BC" w14:textId="71E782E9" w:rsidR="0058126B" w:rsidRPr="00560180" w:rsidRDefault="00D94824" w:rsidP="001804BF">
      <w:pPr>
        <w:spacing w:after="120"/>
        <w:rPr>
          <w:rFonts w:ascii="Avenir LT Std 55 Roman" w:hAnsi="Avenir LT Std 55 Roman"/>
          <w:sz w:val="22"/>
          <w:szCs w:val="22"/>
        </w:rPr>
      </w:pPr>
      <w:r w:rsidRPr="00560180">
        <w:rPr>
          <w:rFonts w:ascii="Avenir LT Std 55 Roman" w:hAnsi="Avenir LT Std 55 Roman"/>
          <w:sz w:val="22"/>
          <w:szCs w:val="22"/>
        </w:rPr>
        <w:t xml:space="preserve">Les pratiques de CAH </w:t>
      </w:r>
      <w:r w:rsidR="00DC221C" w:rsidRPr="00560180">
        <w:rPr>
          <w:rFonts w:ascii="Avenir LT Std 55 Roman" w:hAnsi="Avenir LT Std 55 Roman"/>
          <w:sz w:val="22"/>
          <w:szCs w:val="22"/>
        </w:rPr>
        <w:t xml:space="preserve">en matière de la recommandation salariale de la DG </w:t>
      </w:r>
      <w:r w:rsidRPr="00560180">
        <w:rPr>
          <w:rFonts w:ascii="Avenir LT Std 55 Roman" w:hAnsi="Avenir LT Std 55 Roman"/>
          <w:sz w:val="22"/>
          <w:szCs w:val="22"/>
        </w:rPr>
        <w:t>sont conformes à notre mission, notre vision et nos valeurs et sont guidées par notre Cadre de référence en matière d’éthique et notre Code d’éthique</w:t>
      </w:r>
      <w:r w:rsidR="00DB2EC2" w:rsidRPr="00560180">
        <w:rPr>
          <w:rFonts w:ascii="Avenir LT Std 55 Roman" w:hAnsi="Avenir LT Std 55 Roman"/>
          <w:sz w:val="22"/>
          <w:szCs w:val="22"/>
        </w:rPr>
        <w:t xml:space="preserve"> ainsi que par nos capacités financières</w:t>
      </w:r>
      <w:r w:rsidR="00E15448" w:rsidRPr="00560180">
        <w:rPr>
          <w:rFonts w:ascii="Avenir LT Std 55 Roman" w:hAnsi="Avenir LT Std 55 Roman"/>
          <w:sz w:val="22"/>
          <w:szCs w:val="22"/>
        </w:rPr>
        <w:t>, le souci de l’équité interne en matière des échelles salariales et les normes d’emploi de l’Ontario</w:t>
      </w:r>
      <w:r w:rsidRPr="00560180">
        <w:rPr>
          <w:rFonts w:ascii="Avenir LT Std 55 Roman" w:hAnsi="Avenir LT Std 55 Roman"/>
          <w:sz w:val="22"/>
          <w:szCs w:val="22"/>
        </w:rPr>
        <w:t xml:space="preserve">. </w:t>
      </w:r>
    </w:p>
    <w:p w14:paraId="2F3C1578" w14:textId="33533686" w:rsidR="00D94824" w:rsidRPr="00560180" w:rsidRDefault="0058126B" w:rsidP="001804BF">
      <w:pPr>
        <w:spacing w:after="120"/>
        <w:rPr>
          <w:rFonts w:ascii="Avenir LT Std 55 Roman" w:hAnsi="Avenir LT Std 55 Roman"/>
          <w:sz w:val="22"/>
          <w:szCs w:val="22"/>
        </w:rPr>
      </w:pPr>
      <w:r w:rsidRPr="00560180">
        <w:rPr>
          <w:rFonts w:ascii="Avenir LT Std 55 Roman" w:hAnsi="Avenir LT Std 55 Roman"/>
          <w:sz w:val="22"/>
          <w:szCs w:val="22"/>
        </w:rPr>
        <w:t xml:space="preserve">CAH </w:t>
      </w:r>
      <w:r w:rsidR="00E76E62" w:rsidRPr="00560180">
        <w:rPr>
          <w:rFonts w:ascii="Avenir LT Std 55 Roman" w:hAnsi="Avenir LT Std 55 Roman"/>
          <w:sz w:val="22"/>
          <w:szCs w:val="22"/>
        </w:rPr>
        <w:t xml:space="preserve">reconnaitra </w:t>
      </w:r>
      <w:r w:rsidR="00A97A4D" w:rsidRPr="00560180">
        <w:rPr>
          <w:rFonts w:ascii="Avenir LT Std 55 Roman" w:hAnsi="Avenir LT Std 55 Roman"/>
          <w:sz w:val="22"/>
          <w:szCs w:val="22"/>
        </w:rPr>
        <w:t xml:space="preserve">la </w:t>
      </w:r>
      <w:r w:rsidRPr="00560180">
        <w:rPr>
          <w:rFonts w:ascii="Avenir LT Std 55 Roman" w:hAnsi="Avenir LT Std 55 Roman"/>
          <w:sz w:val="22"/>
          <w:szCs w:val="22"/>
        </w:rPr>
        <w:t xml:space="preserve">performance </w:t>
      </w:r>
      <w:r w:rsidR="00A97A4D" w:rsidRPr="00560180">
        <w:rPr>
          <w:rFonts w:ascii="Avenir LT Std 55 Roman" w:hAnsi="Avenir LT Std 55 Roman"/>
          <w:sz w:val="22"/>
          <w:szCs w:val="22"/>
        </w:rPr>
        <w:t>de la DG sur une base annuelle et réviser</w:t>
      </w:r>
      <w:r w:rsidR="00E76E62" w:rsidRPr="00560180">
        <w:rPr>
          <w:rFonts w:ascii="Avenir LT Std 55 Roman" w:hAnsi="Avenir LT Std 55 Roman"/>
          <w:sz w:val="22"/>
          <w:szCs w:val="22"/>
        </w:rPr>
        <w:t>a</w:t>
      </w:r>
      <w:r w:rsidR="00A97A4D" w:rsidRPr="00560180">
        <w:rPr>
          <w:rFonts w:ascii="Avenir LT Std 55 Roman" w:hAnsi="Avenir LT Std 55 Roman"/>
          <w:sz w:val="22"/>
          <w:szCs w:val="22"/>
        </w:rPr>
        <w:t xml:space="preserve"> sa rémunération sur une base régulière. </w:t>
      </w:r>
    </w:p>
    <w:p w14:paraId="7A702933" w14:textId="77777777" w:rsidR="00DC221C" w:rsidRPr="00560180" w:rsidRDefault="00DC221C" w:rsidP="0058126B">
      <w:pPr>
        <w:rPr>
          <w:rFonts w:ascii="Avenir LT Std 55 Roman" w:hAnsi="Avenir LT Std 55 Roman"/>
          <w:b/>
          <w:smallCaps/>
          <w:sz w:val="28"/>
          <w:szCs w:val="28"/>
        </w:rPr>
      </w:pPr>
    </w:p>
    <w:p w14:paraId="3BE98BD4" w14:textId="57387C41" w:rsidR="00DC221C" w:rsidRPr="00560180" w:rsidRDefault="00DC221C" w:rsidP="0058126B">
      <w:pPr>
        <w:rPr>
          <w:rFonts w:ascii="Avenir LT Std 55 Roman" w:hAnsi="Avenir LT Std 55 Roman"/>
          <w:b/>
          <w:smallCaps/>
          <w:sz w:val="28"/>
          <w:szCs w:val="28"/>
        </w:rPr>
      </w:pPr>
      <w:r w:rsidRPr="00560180">
        <w:rPr>
          <w:rFonts w:ascii="Avenir LT Std 55 Roman" w:hAnsi="Avenir LT Std 55 Roman"/>
          <w:b/>
          <w:smallCaps/>
          <w:sz w:val="28"/>
          <w:szCs w:val="28"/>
        </w:rPr>
        <w:t>Processus</w:t>
      </w:r>
    </w:p>
    <w:p w14:paraId="2D039C09" w14:textId="77777777" w:rsidR="00DA68CA" w:rsidRPr="00560180" w:rsidRDefault="00DA68CA" w:rsidP="0058126B">
      <w:pPr>
        <w:rPr>
          <w:rFonts w:ascii="Avenir LT Std 55 Roman" w:hAnsi="Avenir LT Std 55 Roman"/>
          <w:b/>
          <w:smallCaps/>
          <w:sz w:val="28"/>
          <w:szCs w:val="28"/>
        </w:rPr>
      </w:pPr>
    </w:p>
    <w:p w14:paraId="276C212A" w14:textId="44FED2AF" w:rsidR="00EE1817" w:rsidRPr="00560180" w:rsidRDefault="00276B81" w:rsidP="00EE1817">
      <w:pPr>
        <w:rPr>
          <w:rFonts w:ascii="Avenir LT Std 55 Roman" w:hAnsi="Avenir LT Std 55 Roman"/>
          <w:sz w:val="22"/>
          <w:szCs w:val="22"/>
        </w:rPr>
      </w:pPr>
      <w:r w:rsidRPr="00560180">
        <w:rPr>
          <w:rFonts w:ascii="Avenir LT Std 55 Roman" w:hAnsi="Avenir LT Std 55 Roman"/>
          <w:sz w:val="22"/>
          <w:szCs w:val="22"/>
        </w:rPr>
        <w:t>Au besoin, l</w:t>
      </w:r>
      <w:r w:rsidR="00EE1817" w:rsidRPr="00560180">
        <w:rPr>
          <w:rFonts w:ascii="Avenir LT Std 55 Roman" w:hAnsi="Avenir LT Std 55 Roman"/>
          <w:sz w:val="22"/>
          <w:szCs w:val="22"/>
        </w:rPr>
        <w:t xml:space="preserve">e </w:t>
      </w:r>
      <w:r w:rsidR="003527F6" w:rsidRPr="00560180">
        <w:rPr>
          <w:rFonts w:ascii="Avenir LT Std 55 Roman" w:hAnsi="Avenir LT Std 55 Roman"/>
          <w:sz w:val="22"/>
          <w:szCs w:val="22"/>
        </w:rPr>
        <w:t>c</w:t>
      </w:r>
      <w:r w:rsidR="00EE1817" w:rsidRPr="00560180">
        <w:rPr>
          <w:rFonts w:ascii="Avenir LT Std 55 Roman" w:hAnsi="Avenir LT Std 55 Roman"/>
          <w:sz w:val="22"/>
          <w:szCs w:val="22"/>
        </w:rPr>
        <w:t>o</w:t>
      </w:r>
      <w:r w:rsidR="003527F6" w:rsidRPr="00560180">
        <w:rPr>
          <w:rFonts w:ascii="Avenir LT Std 55 Roman" w:hAnsi="Avenir LT Std 55 Roman"/>
          <w:sz w:val="22"/>
          <w:szCs w:val="22"/>
        </w:rPr>
        <w:t>mité</w:t>
      </w:r>
      <w:r w:rsidR="00EE1817" w:rsidRPr="00560180">
        <w:rPr>
          <w:rFonts w:ascii="Avenir LT Std 55 Roman" w:hAnsi="Avenir LT Std 55 Roman"/>
          <w:sz w:val="22"/>
          <w:szCs w:val="22"/>
        </w:rPr>
        <w:t xml:space="preserve"> </w:t>
      </w:r>
      <w:r w:rsidR="008865CC" w:rsidRPr="00560180">
        <w:rPr>
          <w:rFonts w:ascii="Avenir LT Std 55 Roman" w:hAnsi="Avenir LT Std 55 Roman"/>
          <w:sz w:val="22"/>
          <w:szCs w:val="22"/>
        </w:rPr>
        <w:t xml:space="preserve">exécutif </w:t>
      </w:r>
      <w:r w:rsidR="003527F6" w:rsidRPr="00560180">
        <w:rPr>
          <w:rFonts w:ascii="Avenir LT Std 55 Roman" w:hAnsi="Avenir LT Std 55 Roman"/>
          <w:sz w:val="22"/>
          <w:szCs w:val="22"/>
        </w:rPr>
        <w:t>(« comité »)</w:t>
      </w:r>
      <w:r w:rsidR="00E15448" w:rsidRPr="00560180">
        <w:rPr>
          <w:rFonts w:ascii="Avenir LT Std 55 Roman" w:hAnsi="Avenir LT Std 55 Roman"/>
          <w:sz w:val="22"/>
          <w:szCs w:val="22"/>
        </w:rPr>
        <w:t xml:space="preserve"> </w:t>
      </w:r>
      <w:r w:rsidR="00EE1817" w:rsidRPr="00560180">
        <w:rPr>
          <w:rFonts w:ascii="Avenir LT Std 55 Roman" w:hAnsi="Avenir LT Std 55 Roman"/>
          <w:sz w:val="22"/>
          <w:szCs w:val="22"/>
        </w:rPr>
        <w:t>étudier</w:t>
      </w:r>
      <w:r w:rsidR="00E76E62" w:rsidRPr="00560180">
        <w:rPr>
          <w:rFonts w:ascii="Avenir LT Std 55 Roman" w:hAnsi="Avenir LT Std 55 Roman"/>
          <w:sz w:val="22"/>
          <w:szCs w:val="22"/>
        </w:rPr>
        <w:t>a</w:t>
      </w:r>
      <w:r w:rsidR="00EE1817" w:rsidRPr="00560180">
        <w:rPr>
          <w:rFonts w:ascii="Avenir LT Std 55 Roman" w:hAnsi="Avenir LT Std 55 Roman"/>
          <w:sz w:val="22"/>
          <w:szCs w:val="22"/>
        </w:rPr>
        <w:t xml:space="preserve"> les conditions salariales </w:t>
      </w:r>
      <w:r w:rsidR="003527F6" w:rsidRPr="00560180">
        <w:rPr>
          <w:rFonts w:ascii="Avenir LT Std 55 Roman" w:hAnsi="Avenir LT Std 55 Roman"/>
          <w:sz w:val="22"/>
          <w:szCs w:val="22"/>
        </w:rPr>
        <w:t xml:space="preserve">du secteur </w:t>
      </w:r>
      <w:r w:rsidR="00EE1817" w:rsidRPr="00560180">
        <w:rPr>
          <w:rFonts w:ascii="Avenir LT Std 55 Roman" w:hAnsi="Avenir LT Std 55 Roman"/>
          <w:sz w:val="22"/>
          <w:szCs w:val="22"/>
        </w:rPr>
        <w:t>afin de pouvoir proposer au C</w:t>
      </w:r>
      <w:r w:rsidR="003527F6" w:rsidRPr="00560180">
        <w:rPr>
          <w:rFonts w:ascii="Avenir LT Std 55 Roman" w:hAnsi="Avenir LT Std 55 Roman"/>
          <w:sz w:val="22"/>
          <w:szCs w:val="22"/>
        </w:rPr>
        <w:t xml:space="preserve">onseil d’administration (« Conseil ») </w:t>
      </w:r>
      <w:r w:rsidR="00EE1817" w:rsidRPr="00560180">
        <w:rPr>
          <w:rFonts w:ascii="Avenir LT Std 55 Roman" w:hAnsi="Avenir LT Std 55 Roman"/>
          <w:sz w:val="22"/>
          <w:szCs w:val="22"/>
        </w:rPr>
        <w:t xml:space="preserve">un plan d’action en ce qui </w:t>
      </w:r>
      <w:r w:rsidR="00E76E62" w:rsidRPr="00560180">
        <w:rPr>
          <w:rFonts w:ascii="Avenir LT Std 55 Roman" w:hAnsi="Avenir LT Std 55 Roman"/>
          <w:sz w:val="22"/>
          <w:szCs w:val="22"/>
        </w:rPr>
        <w:t xml:space="preserve">a trait </w:t>
      </w:r>
      <w:r w:rsidR="00EE1817" w:rsidRPr="00560180">
        <w:rPr>
          <w:rFonts w:ascii="Avenir LT Std 55 Roman" w:hAnsi="Avenir LT Std 55 Roman"/>
          <w:sz w:val="22"/>
          <w:szCs w:val="22"/>
        </w:rPr>
        <w:t xml:space="preserve">à la rémunération de la </w:t>
      </w:r>
      <w:r w:rsidR="00E15448" w:rsidRPr="00560180">
        <w:rPr>
          <w:rFonts w:ascii="Avenir LT Std 55 Roman" w:hAnsi="Avenir LT Std 55 Roman"/>
          <w:sz w:val="22"/>
          <w:szCs w:val="22"/>
        </w:rPr>
        <w:t>DG</w:t>
      </w:r>
      <w:r w:rsidR="00EE1817" w:rsidRPr="00560180">
        <w:rPr>
          <w:rFonts w:ascii="Avenir LT Std 55 Roman" w:hAnsi="Avenir LT Std 55 Roman"/>
          <w:sz w:val="22"/>
          <w:szCs w:val="22"/>
        </w:rPr>
        <w:t>.</w:t>
      </w:r>
    </w:p>
    <w:p w14:paraId="05079F8E" w14:textId="77777777" w:rsidR="008865CC" w:rsidRPr="00560180" w:rsidRDefault="008865CC" w:rsidP="00EE1817">
      <w:pPr>
        <w:rPr>
          <w:rFonts w:ascii="Avenir LT Std 55 Roman" w:hAnsi="Avenir LT Std 55 Roman"/>
          <w:sz w:val="22"/>
          <w:szCs w:val="22"/>
        </w:rPr>
      </w:pPr>
    </w:p>
    <w:p w14:paraId="68117BFC" w14:textId="3AC43B9A" w:rsidR="00EE1817" w:rsidRPr="00560180" w:rsidRDefault="00276B81" w:rsidP="00EE1817">
      <w:pPr>
        <w:rPr>
          <w:rFonts w:ascii="Avenir LT Std 55 Roman" w:hAnsi="Avenir LT Std 55 Roman"/>
          <w:sz w:val="22"/>
          <w:szCs w:val="22"/>
        </w:rPr>
      </w:pPr>
      <w:r w:rsidRPr="00560180">
        <w:rPr>
          <w:rFonts w:ascii="Avenir LT Std 55 Roman" w:hAnsi="Avenir LT Std 55 Roman"/>
          <w:sz w:val="22"/>
          <w:szCs w:val="22"/>
        </w:rPr>
        <w:t>Dans son processus de recherche</w:t>
      </w:r>
      <w:r w:rsidR="003527F6" w:rsidRPr="00560180">
        <w:rPr>
          <w:rFonts w:ascii="Avenir LT Std 55 Roman" w:hAnsi="Avenir LT Std 55 Roman"/>
          <w:sz w:val="22"/>
          <w:szCs w:val="22"/>
        </w:rPr>
        <w:t>,</w:t>
      </w:r>
      <w:r w:rsidRPr="00560180">
        <w:rPr>
          <w:rFonts w:ascii="Avenir LT Std 55 Roman" w:hAnsi="Avenir LT Std 55 Roman"/>
          <w:sz w:val="22"/>
          <w:szCs w:val="22"/>
        </w:rPr>
        <w:t xml:space="preserve"> l</w:t>
      </w:r>
      <w:r w:rsidR="00B90A95" w:rsidRPr="00560180">
        <w:rPr>
          <w:rFonts w:ascii="Avenir LT Std 55 Roman" w:hAnsi="Avenir LT Std 55 Roman"/>
          <w:sz w:val="22"/>
          <w:szCs w:val="22"/>
        </w:rPr>
        <w:t xml:space="preserve">e comité utilisera des </w:t>
      </w:r>
      <w:r w:rsidR="00EE1817" w:rsidRPr="00560180">
        <w:rPr>
          <w:rFonts w:ascii="Avenir LT Std 55 Roman" w:hAnsi="Avenir LT Std 55 Roman"/>
          <w:sz w:val="22"/>
          <w:szCs w:val="22"/>
        </w:rPr>
        <w:t>sondages sur les conditions salariales dans un domaine connexe et plus spécifiquement dans la</w:t>
      </w:r>
      <w:r w:rsidRPr="00560180">
        <w:rPr>
          <w:rFonts w:ascii="Avenir LT Std 55 Roman" w:hAnsi="Avenir LT Std 55 Roman"/>
          <w:sz w:val="22"/>
          <w:szCs w:val="22"/>
        </w:rPr>
        <w:t xml:space="preserve"> grande région de Toronto. </w:t>
      </w:r>
      <w:r w:rsidR="002B3E7A" w:rsidRPr="00560180">
        <w:rPr>
          <w:rFonts w:ascii="Avenir LT Std 55 Roman" w:hAnsi="Avenir LT Std 55 Roman"/>
          <w:sz w:val="22"/>
          <w:szCs w:val="22"/>
        </w:rPr>
        <w:t xml:space="preserve">Il étudiera </w:t>
      </w:r>
      <w:r w:rsidR="00EE1817" w:rsidRPr="00560180">
        <w:rPr>
          <w:rFonts w:ascii="Avenir LT Std 55 Roman" w:hAnsi="Avenir LT Std 55 Roman"/>
          <w:sz w:val="22"/>
          <w:szCs w:val="22"/>
        </w:rPr>
        <w:t xml:space="preserve">le taux d’inflation pour l’Ontario, tel que </w:t>
      </w:r>
      <w:r w:rsidR="002B3E7A" w:rsidRPr="00560180">
        <w:rPr>
          <w:rFonts w:ascii="Avenir LT Std 55 Roman" w:hAnsi="Avenir LT Std 55 Roman"/>
          <w:sz w:val="22"/>
          <w:szCs w:val="22"/>
        </w:rPr>
        <w:t xml:space="preserve">publié par Statistique Canada et </w:t>
      </w:r>
      <w:r w:rsidR="00EE1817" w:rsidRPr="00560180">
        <w:rPr>
          <w:rFonts w:ascii="Avenir LT Std 55 Roman" w:hAnsi="Avenir LT Std 55 Roman"/>
          <w:sz w:val="22"/>
          <w:szCs w:val="22"/>
        </w:rPr>
        <w:t>déterminer</w:t>
      </w:r>
      <w:r w:rsidR="002B3E7A" w:rsidRPr="00560180">
        <w:rPr>
          <w:rFonts w:ascii="Avenir LT Std 55 Roman" w:hAnsi="Avenir LT Std 55 Roman"/>
          <w:sz w:val="22"/>
          <w:szCs w:val="22"/>
        </w:rPr>
        <w:t>a</w:t>
      </w:r>
      <w:r w:rsidR="00EE1817" w:rsidRPr="00560180">
        <w:rPr>
          <w:rFonts w:ascii="Avenir LT Std 55 Roman" w:hAnsi="Avenir LT Std 55 Roman"/>
          <w:sz w:val="22"/>
          <w:szCs w:val="22"/>
        </w:rPr>
        <w:t xml:space="preserve"> un point médian qui représente</w:t>
      </w:r>
      <w:r w:rsidR="002B3E7A" w:rsidRPr="00560180">
        <w:rPr>
          <w:rFonts w:ascii="Avenir LT Std 55 Roman" w:hAnsi="Avenir LT Std 55 Roman"/>
          <w:sz w:val="22"/>
          <w:szCs w:val="22"/>
        </w:rPr>
        <w:t>ra</w:t>
      </w:r>
      <w:r w:rsidR="00EE1817" w:rsidRPr="00560180">
        <w:rPr>
          <w:rFonts w:ascii="Avenir LT Std 55 Roman" w:hAnsi="Avenir LT Std 55 Roman"/>
          <w:sz w:val="22"/>
          <w:szCs w:val="22"/>
        </w:rPr>
        <w:t xml:space="preserve"> la rémunération cible pour un </w:t>
      </w:r>
      <w:r w:rsidR="003527F6" w:rsidRPr="00560180">
        <w:rPr>
          <w:rFonts w:ascii="Avenir LT Std 55 Roman" w:hAnsi="Avenir LT Std 55 Roman"/>
          <w:sz w:val="22"/>
          <w:szCs w:val="22"/>
        </w:rPr>
        <w:t xml:space="preserve">titulaire </w:t>
      </w:r>
      <w:r w:rsidR="00EE1817" w:rsidRPr="00560180">
        <w:rPr>
          <w:rFonts w:ascii="Avenir LT Std 55 Roman" w:hAnsi="Avenir LT Std 55 Roman"/>
          <w:sz w:val="22"/>
          <w:szCs w:val="22"/>
        </w:rPr>
        <w:t xml:space="preserve">compétent dans tous les aspects </w:t>
      </w:r>
      <w:r w:rsidR="001872E9" w:rsidRPr="00560180">
        <w:rPr>
          <w:rFonts w:ascii="Avenir LT Std 55 Roman" w:hAnsi="Avenir LT Std 55 Roman"/>
          <w:sz w:val="22"/>
          <w:szCs w:val="22"/>
        </w:rPr>
        <w:t>du poste</w:t>
      </w:r>
      <w:r w:rsidR="00EE1817" w:rsidRPr="00560180">
        <w:rPr>
          <w:rFonts w:ascii="Avenir LT Std 55 Roman" w:hAnsi="Avenir LT Std 55 Roman"/>
          <w:sz w:val="22"/>
          <w:szCs w:val="22"/>
        </w:rPr>
        <w:t>.</w:t>
      </w:r>
    </w:p>
    <w:p w14:paraId="5D935D25" w14:textId="77777777" w:rsidR="002B3E7A" w:rsidRPr="00560180" w:rsidRDefault="002B3E7A" w:rsidP="00EE1817">
      <w:pPr>
        <w:rPr>
          <w:rFonts w:ascii="Avenir LT Std 55 Roman" w:hAnsi="Avenir LT Std 55 Roman"/>
          <w:sz w:val="22"/>
          <w:szCs w:val="22"/>
        </w:rPr>
      </w:pPr>
    </w:p>
    <w:p w14:paraId="3516E770" w14:textId="2738B108" w:rsidR="00722AE4" w:rsidRPr="00560180" w:rsidRDefault="00EE1817" w:rsidP="00722AE4">
      <w:pPr>
        <w:rPr>
          <w:rFonts w:ascii="Avenir LT Std 55 Roman" w:hAnsi="Avenir LT Std 55 Roman"/>
          <w:sz w:val="22"/>
          <w:szCs w:val="22"/>
        </w:rPr>
      </w:pPr>
      <w:r w:rsidRPr="00560180">
        <w:rPr>
          <w:rFonts w:ascii="Avenir LT Std 55 Roman" w:hAnsi="Avenir LT Std 55 Roman"/>
          <w:sz w:val="22"/>
          <w:szCs w:val="22"/>
        </w:rPr>
        <w:t>A partir de ce point médian</w:t>
      </w:r>
      <w:r w:rsidR="002B3E7A" w:rsidRPr="00560180">
        <w:rPr>
          <w:rFonts w:ascii="Avenir LT Std 55 Roman" w:hAnsi="Avenir LT Std 55 Roman"/>
          <w:sz w:val="22"/>
          <w:szCs w:val="22"/>
        </w:rPr>
        <w:t xml:space="preserve">, une </w:t>
      </w:r>
      <w:r w:rsidRPr="00560180">
        <w:rPr>
          <w:rFonts w:ascii="Avenir LT Std 55 Roman" w:hAnsi="Avenir LT Std 55 Roman"/>
          <w:sz w:val="22"/>
          <w:szCs w:val="22"/>
        </w:rPr>
        <w:t xml:space="preserve">échelle salariale </w:t>
      </w:r>
      <w:r w:rsidR="002B3E7A" w:rsidRPr="00560180">
        <w:rPr>
          <w:rFonts w:ascii="Avenir LT Std 55 Roman" w:hAnsi="Avenir LT Std 55 Roman"/>
          <w:sz w:val="22"/>
          <w:szCs w:val="22"/>
        </w:rPr>
        <w:t xml:space="preserve">est </w:t>
      </w:r>
      <w:r w:rsidR="00722AE4" w:rsidRPr="00560180">
        <w:rPr>
          <w:rFonts w:ascii="Avenir LT Std 55 Roman" w:hAnsi="Avenir LT Std 55 Roman"/>
          <w:sz w:val="22"/>
          <w:szCs w:val="22"/>
        </w:rPr>
        <w:t>c</w:t>
      </w:r>
      <w:r w:rsidR="00276B81" w:rsidRPr="00560180">
        <w:rPr>
          <w:rFonts w:ascii="Avenir LT Std 55 Roman" w:hAnsi="Avenir LT Std 55 Roman"/>
          <w:sz w:val="22"/>
          <w:szCs w:val="22"/>
        </w:rPr>
        <w:t>réé</w:t>
      </w:r>
      <w:r w:rsidR="003527F6" w:rsidRPr="00560180">
        <w:rPr>
          <w:rFonts w:ascii="Avenir LT Std 55 Roman" w:hAnsi="Avenir LT Std 55 Roman"/>
          <w:sz w:val="22"/>
          <w:szCs w:val="22"/>
        </w:rPr>
        <w:t>e</w:t>
      </w:r>
      <w:r w:rsidR="00276B81" w:rsidRPr="00560180">
        <w:rPr>
          <w:rFonts w:ascii="Avenir LT Std 55 Roman" w:hAnsi="Avenir LT Std 55 Roman"/>
          <w:sz w:val="22"/>
          <w:szCs w:val="22"/>
        </w:rPr>
        <w:t xml:space="preserve"> que le </w:t>
      </w:r>
      <w:r w:rsidR="00722AE4" w:rsidRPr="00560180">
        <w:rPr>
          <w:rFonts w:ascii="Avenir LT Std 55 Roman" w:hAnsi="Avenir LT Std 55 Roman"/>
          <w:sz w:val="22"/>
          <w:szCs w:val="22"/>
        </w:rPr>
        <w:t xml:space="preserve">Conseil </w:t>
      </w:r>
      <w:r w:rsidR="00276B81" w:rsidRPr="00560180">
        <w:rPr>
          <w:rFonts w:ascii="Avenir LT Std 55 Roman" w:hAnsi="Avenir LT Std 55 Roman"/>
          <w:sz w:val="22"/>
          <w:szCs w:val="22"/>
        </w:rPr>
        <w:t>utilise lors des réunions à huis clos pour recommander le salaire de la DG.</w:t>
      </w:r>
    </w:p>
    <w:p w14:paraId="4AB9910C" w14:textId="77777777" w:rsidR="00722AE4" w:rsidRPr="00560180" w:rsidRDefault="00722AE4" w:rsidP="00722AE4">
      <w:pPr>
        <w:rPr>
          <w:rFonts w:ascii="Avenir LT Std 55 Roman" w:hAnsi="Avenir LT Std 55 Roman"/>
          <w:sz w:val="22"/>
          <w:szCs w:val="22"/>
        </w:rPr>
      </w:pPr>
    </w:p>
    <w:p w14:paraId="1563EA0E" w14:textId="77777777" w:rsidR="00722AE4" w:rsidRPr="00560180" w:rsidRDefault="00722AE4" w:rsidP="00EE1817">
      <w:pPr>
        <w:rPr>
          <w:rFonts w:ascii="Avenir LT Std 55 Roman" w:hAnsi="Avenir LT Std 55 Roman"/>
          <w:sz w:val="22"/>
          <w:szCs w:val="22"/>
        </w:rPr>
      </w:pPr>
    </w:p>
    <w:p w14:paraId="01CE699D" w14:textId="4B3242FC" w:rsidR="00EE1817" w:rsidRPr="00560180" w:rsidRDefault="00722AE4" w:rsidP="00EE1817">
      <w:pPr>
        <w:rPr>
          <w:rFonts w:ascii="Avenir LT Std 55 Roman" w:hAnsi="Avenir LT Std 55 Roman"/>
          <w:sz w:val="22"/>
          <w:szCs w:val="22"/>
        </w:rPr>
      </w:pPr>
      <w:r w:rsidRPr="00560180">
        <w:rPr>
          <w:rFonts w:ascii="Avenir LT Std 55 Roman" w:hAnsi="Avenir LT Std 55 Roman"/>
          <w:sz w:val="22"/>
          <w:szCs w:val="22"/>
        </w:rPr>
        <w:t>L'échelle consiste d'</w:t>
      </w:r>
      <w:r w:rsidR="00EE1817" w:rsidRPr="00560180">
        <w:rPr>
          <w:rFonts w:ascii="Avenir LT Std 55 Roman" w:hAnsi="Avenir LT Std 55 Roman"/>
          <w:sz w:val="22"/>
          <w:szCs w:val="22"/>
        </w:rPr>
        <w:t xml:space="preserve">un point minimum établi à 80% du point médian et </w:t>
      </w:r>
      <w:r w:rsidR="001872E9" w:rsidRPr="00560180">
        <w:rPr>
          <w:rFonts w:ascii="Avenir LT Std 55 Roman" w:hAnsi="Avenir LT Std 55 Roman"/>
          <w:sz w:val="22"/>
          <w:szCs w:val="22"/>
        </w:rPr>
        <w:t>d’</w:t>
      </w:r>
      <w:r w:rsidR="00EE1817" w:rsidRPr="00560180">
        <w:rPr>
          <w:rFonts w:ascii="Avenir LT Std 55 Roman" w:hAnsi="Avenir LT Std 55 Roman"/>
          <w:sz w:val="22"/>
          <w:szCs w:val="22"/>
        </w:rPr>
        <w:t>un point maximal établi à 120% du point médian.</w:t>
      </w:r>
    </w:p>
    <w:p w14:paraId="08C4B633" w14:textId="77777777" w:rsidR="00276B81" w:rsidRPr="00560180" w:rsidRDefault="00276B81" w:rsidP="00EE1817">
      <w:pPr>
        <w:rPr>
          <w:rFonts w:ascii="Avenir LT Std 55 Roman" w:hAnsi="Avenir LT Std 55 Roman"/>
          <w:sz w:val="22"/>
          <w:szCs w:val="22"/>
        </w:rPr>
      </w:pPr>
    </w:p>
    <w:p w14:paraId="19554DF5" w14:textId="256803F6" w:rsidR="00A758FD" w:rsidRPr="00560180" w:rsidRDefault="00A758FD" w:rsidP="00EE1817">
      <w:pPr>
        <w:rPr>
          <w:rFonts w:ascii="Avenir LT Std 55 Roman" w:hAnsi="Avenir LT Std 55 Roman"/>
          <w:b/>
          <w:smallCaps/>
          <w:sz w:val="28"/>
          <w:szCs w:val="28"/>
        </w:rPr>
      </w:pPr>
      <w:r w:rsidRPr="00560180">
        <w:rPr>
          <w:rFonts w:ascii="Avenir LT Std 55 Roman" w:hAnsi="Avenir LT Std 55 Roman"/>
          <w:b/>
          <w:smallCaps/>
          <w:sz w:val="28"/>
          <w:szCs w:val="28"/>
        </w:rPr>
        <w:t xml:space="preserve">Augmentation de salaire </w:t>
      </w:r>
    </w:p>
    <w:p w14:paraId="226CB0CD" w14:textId="77777777" w:rsidR="00DA68CA" w:rsidRPr="00560180" w:rsidRDefault="00DA68CA" w:rsidP="00EE1817">
      <w:pPr>
        <w:rPr>
          <w:rFonts w:ascii="Avenir LT Std 55 Roman" w:hAnsi="Avenir LT Std 55 Roman"/>
          <w:b/>
          <w:smallCaps/>
          <w:sz w:val="28"/>
          <w:szCs w:val="28"/>
        </w:rPr>
      </w:pPr>
    </w:p>
    <w:p w14:paraId="7EA608DF" w14:textId="77777777" w:rsidR="00722AE4" w:rsidRPr="00560180" w:rsidRDefault="00EE1817" w:rsidP="00EE1817">
      <w:pPr>
        <w:rPr>
          <w:rFonts w:ascii="Avenir LT Std 55 Roman" w:hAnsi="Avenir LT Std 55 Roman"/>
          <w:sz w:val="22"/>
          <w:szCs w:val="22"/>
        </w:rPr>
      </w:pPr>
      <w:r w:rsidRPr="00560180">
        <w:rPr>
          <w:rFonts w:ascii="Avenir LT Std 55 Roman" w:hAnsi="Avenir LT Std 55 Roman"/>
          <w:sz w:val="22"/>
          <w:szCs w:val="22"/>
        </w:rPr>
        <w:t>Pour détermin</w:t>
      </w:r>
      <w:r w:rsidR="005C2C11" w:rsidRPr="00560180">
        <w:rPr>
          <w:rFonts w:ascii="Avenir LT Std 55 Roman" w:hAnsi="Avenir LT Std 55 Roman"/>
          <w:sz w:val="22"/>
          <w:szCs w:val="22"/>
        </w:rPr>
        <w:t>er les augmentations salariales, le comité cible</w:t>
      </w:r>
      <w:r w:rsidRPr="00560180">
        <w:rPr>
          <w:rFonts w:ascii="Avenir LT Std 55 Roman" w:hAnsi="Avenir LT Std 55 Roman"/>
          <w:sz w:val="22"/>
          <w:szCs w:val="22"/>
        </w:rPr>
        <w:t xml:space="preserve"> une rémunération le plus proche du point médian après quelques années dans le poste. </w:t>
      </w:r>
      <w:r w:rsidR="00DE29FE" w:rsidRPr="00560180">
        <w:rPr>
          <w:rFonts w:ascii="Avenir LT Std 55 Roman" w:hAnsi="Avenir LT Std 55 Roman"/>
          <w:sz w:val="22"/>
          <w:szCs w:val="22"/>
        </w:rPr>
        <w:t>Actuellement le</w:t>
      </w:r>
      <w:r w:rsidR="005C2C11" w:rsidRPr="00560180">
        <w:rPr>
          <w:rFonts w:ascii="Avenir LT Std 55 Roman" w:hAnsi="Avenir LT Std 55 Roman"/>
          <w:sz w:val="22"/>
          <w:szCs w:val="22"/>
        </w:rPr>
        <w:t xml:space="preserve"> comité utilise </w:t>
      </w:r>
      <w:r w:rsidR="00722AE4" w:rsidRPr="00560180">
        <w:rPr>
          <w:rFonts w:ascii="Avenir LT Std 55 Roman" w:hAnsi="Avenir LT Std 55 Roman"/>
          <w:sz w:val="22"/>
          <w:szCs w:val="22"/>
        </w:rPr>
        <w:t xml:space="preserve">une </w:t>
      </w:r>
      <w:r w:rsidRPr="00560180">
        <w:rPr>
          <w:rFonts w:ascii="Avenir LT Std 55 Roman" w:hAnsi="Avenir LT Std 55 Roman"/>
          <w:sz w:val="22"/>
          <w:szCs w:val="22"/>
        </w:rPr>
        <w:t xml:space="preserve">échelle salariale </w:t>
      </w:r>
      <w:r w:rsidR="005C2C11" w:rsidRPr="00560180">
        <w:rPr>
          <w:rFonts w:ascii="Avenir LT Std 55 Roman" w:hAnsi="Avenir LT Std 55 Roman"/>
          <w:sz w:val="22"/>
          <w:szCs w:val="22"/>
        </w:rPr>
        <w:t xml:space="preserve">divisée </w:t>
      </w:r>
      <w:r w:rsidR="00722AE4" w:rsidRPr="00560180">
        <w:rPr>
          <w:rFonts w:ascii="Avenir LT Std 55 Roman" w:hAnsi="Avenir LT Std 55 Roman"/>
          <w:sz w:val="22"/>
          <w:szCs w:val="22"/>
        </w:rPr>
        <w:t xml:space="preserve">en trois parties: </w:t>
      </w:r>
      <w:r w:rsidRPr="00560180">
        <w:rPr>
          <w:rFonts w:ascii="Avenir LT Std 55 Roman" w:hAnsi="Avenir LT Std 55 Roman"/>
          <w:sz w:val="22"/>
          <w:szCs w:val="22"/>
        </w:rPr>
        <w:t>tiers inférie</w:t>
      </w:r>
      <w:r w:rsidR="00722AE4" w:rsidRPr="00560180">
        <w:rPr>
          <w:rFonts w:ascii="Avenir LT Std 55 Roman" w:hAnsi="Avenir LT Std 55 Roman"/>
          <w:sz w:val="22"/>
          <w:szCs w:val="22"/>
        </w:rPr>
        <w:t>ur, tiers moyen, et tiers supérieur</w:t>
      </w:r>
      <w:r w:rsidR="00DE29FE" w:rsidRPr="00560180">
        <w:rPr>
          <w:rFonts w:ascii="Avenir LT Std 55 Roman" w:hAnsi="Avenir LT Std 55 Roman"/>
          <w:sz w:val="22"/>
          <w:szCs w:val="22"/>
        </w:rPr>
        <w:t xml:space="preserve">. </w:t>
      </w:r>
    </w:p>
    <w:p w14:paraId="5BE72D6A" w14:textId="77777777" w:rsidR="00722AE4" w:rsidRPr="00560180" w:rsidRDefault="00722AE4" w:rsidP="00EE1817">
      <w:pPr>
        <w:rPr>
          <w:rFonts w:ascii="Avenir LT Std 55 Roman" w:hAnsi="Avenir LT Std 55 Roman"/>
          <w:sz w:val="22"/>
          <w:szCs w:val="22"/>
        </w:rPr>
      </w:pPr>
    </w:p>
    <w:p w14:paraId="7B55EEF6" w14:textId="1425AACD" w:rsidR="00EE1817" w:rsidRPr="00560180" w:rsidRDefault="00EE1817" w:rsidP="00EE1817">
      <w:pPr>
        <w:rPr>
          <w:rFonts w:ascii="Avenir LT Std 55 Roman" w:hAnsi="Avenir LT Std 55 Roman"/>
          <w:sz w:val="22"/>
          <w:szCs w:val="22"/>
        </w:rPr>
      </w:pPr>
      <w:r w:rsidRPr="00560180">
        <w:rPr>
          <w:rFonts w:ascii="Avenir LT Std 55 Roman" w:hAnsi="Avenir LT Std 55 Roman"/>
          <w:sz w:val="22"/>
          <w:szCs w:val="22"/>
        </w:rPr>
        <w:t>Le salaire actuel et son positionne</w:t>
      </w:r>
      <w:r w:rsidR="00E84EC2" w:rsidRPr="00560180">
        <w:rPr>
          <w:rFonts w:ascii="Avenir LT Std 55 Roman" w:hAnsi="Avenir LT Std 55 Roman"/>
          <w:sz w:val="22"/>
          <w:szCs w:val="22"/>
        </w:rPr>
        <w:t xml:space="preserve">ment dans un des trois tiers </w:t>
      </w:r>
      <w:r w:rsidRPr="00560180">
        <w:rPr>
          <w:rFonts w:ascii="Avenir LT Std 55 Roman" w:hAnsi="Avenir LT Std 55 Roman"/>
          <w:sz w:val="22"/>
          <w:szCs w:val="22"/>
        </w:rPr>
        <w:t>déterminer</w:t>
      </w:r>
      <w:r w:rsidR="00E84EC2" w:rsidRPr="00560180">
        <w:rPr>
          <w:rFonts w:ascii="Avenir LT Std 55 Roman" w:hAnsi="Avenir LT Std 55 Roman"/>
          <w:sz w:val="22"/>
          <w:szCs w:val="22"/>
        </w:rPr>
        <w:t>a</w:t>
      </w:r>
      <w:r w:rsidRPr="00560180">
        <w:rPr>
          <w:rFonts w:ascii="Avenir LT Std 55 Roman" w:hAnsi="Avenir LT Std 55 Roman"/>
          <w:sz w:val="22"/>
          <w:szCs w:val="22"/>
        </w:rPr>
        <w:t xml:space="preserve"> le pourcentage d’augmentation admissible, à </w:t>
      </w:r>
      <w:r w:rsidR="001872E9" w:rsidRPr="00560180">
        <w:rPr>
          <w:rFonts w:ascii="Avenir LT Std 55 Roman" w:hAnsi="Avenir LT Std 55 Roman"/>
          <w:sz w:val="22"/>
          <w:szCs w:val="22"/>
        </w:rPr>
        <w:t>condition d’une évaluation du</w:t>
      </w:r>
      <w:r w:rsidRPr="00560180">
        <w:rPr>
          <w:rFonts w:ascii="Avenir LT Std 55 Roman" w:hAnsi="Avenir LT Std 55 Roman"/>
          <w:sz w:val="22"/>
          <w:szCs w:val="22"/>
        </w:rPr>
        <w:t xml:space="preserve"> rendement adéquate et méritant une augmentation.</w:t>
      </w:r>
    </w:p>
    <w:p w14:paraId="72CDB707" w14:textId="77777777" w:rsidR="00E84EC2" w:rsidRPr="00560180" w:rsidRDefault="00E84EC2" w:rsidP="00EE1817">
      <w:pPr>
        <w:rPr>
          <w:rFonts w:ascii="Avenir LT Std 55 Roman" w:hAnsi="Avenir LT Std 55 Roman"/>
          <w:sz w:val="22"/>
          <w:szCs w:val="22"/>
        </w:rPr>
      </w:pPr>
    </w:p>
    <w:p w14:paraId="2ABD579E" w14:textId="704B40D6" w:rsidR="00EE1817" w:rsidRPr="00560180" w:rsidRDefault="00EE1817" w:rsidP="00EE1817">
      <w:pPr>
        <w:rPr>
          <w:rFonts w:ascii="Avenir LT Std 55 Roman" w:hAnsi="Avenir LT Std 55 Roman"/>
          <w:sz w:val="22"/>
          <w:szCs w:val="22"/>
        </w:rPr>
      </w:pPr>
      <w:r w:rsidRPr="00560180">
        <w:rPr>
          <w:rFonts w:ascii="Avenir LT Std 55 Roman" w:hAnsi="Avenir LT Std 55 Roman"/>
          <w:sz w:val="22"/>
          <w:szCs w:val="22"/>
        </w:rPr>
        <w:t>Pour ce faire, les augmentations admissibles se situeraient entre 4</w:t>
      </w:r>
      <w:r w:rsidR="003527F6" w:rsidRPr="00560180">
        <w:rPr>
          <w:rFonts w:ascii="Avenir LT Std 55 Roman" w:hAnsi="Avenir LT Std 55 Roman"/>
          <w:sz w:val="22"/>
          <w:szCs w:val="22"/>
        </w:rPr>
        <w:t xml:space="preserve"> </w:t>
      </w:r>
      <w:r w:rsidRPr="00560180">
        <w:rPr>
          <w:rFonts w:ascii="Avenir LT Std 55 Roman" w:hAnsi="Avenir LT Std 55 Roman"/>
          <w:sz w:val="22"/>
          <w:szCs w:val="22"/>
        </w:rPr>
        <w:t>% et 6</w:t>
      </w:r>
      <w:r w:rsidR="003527F6" w:rsidRPr="00560180">
        <w:rPr>
          <w:rFonts w:ascii="Avenir LT Std 55 Roman" w:hAnsi="Avenir LT Std 55 Roman"/>
          <w:sz w:val="22"/>
          <w:szCs w:val="22"/>
        </w:rPr>
        <w:t xml:space="preserve"> </w:t>
      </w:r>
      <w:r w:rsidRPr="00560180">
        <w:rPr>
          <w:rFonts w:ascii="Avenir LT Std 55 Roman" w:hAnsi="Avenir LT Std 55 Roman"/>
          <w:sz w:val="22"/>
          <w:szCs w:val="22"/>
        </w:rPr>
        <w:t xml:space="preserve">% pour un salaire dans le tiers inférieur, </w:t>
      </w:r>
      <w:r w:rsidR="00E15448" w:rsidRPr="00560180">
        <w:rPr>
          <w:rFonts w:ascii="Avenir LT Std 55 Roman" w:hAnsi="Avenir LT Std 55 Roman"/>
          <w:sz w:val="22"/>
          <w:szCs w:val="22"/>
        </w:rPr>
        <w:t xml:space="preserve">de </w:t>
      </w:r>
      <w:r w:rsidRPr="00560180">
        <w:rPr>
          <w:rFonts w:ascii="Avenir LT Std 55 Roman" w:hAnsi="Avenir LT Std 55 Roman"/>
          <w:sz w:val="22"/>
          <w:szCs w:val="22"/>
        </w:rPr>
        <w:t>2</w:t>
      </w:r>
      <w:r w:rsidR="003527F6" w:rsidRPr="00560180">
        <w:rPr>
          <w:rFonts w:ascii="Avenir LT Std 55 Roman" w:hAnsi="Avenir LT Std 55 Roman"/>
          <w:sz w:val="22"/>
          <w:szCs w:val="22"/>
        </w:rPr>
        <w:t xml:space="preserve"> </w:t>
      </w:r>
      <w:r w:rsidRPr="00560180">
        <w:rPr>
          <w:rFonts w:ascii="Avenir LT Std 55 Roman" w:hAnsi="Avenir LT Std 55 Roman"/>
          <w:sz w:val="22"/>
          <w:szCs w:val="22"/>
        </w:rPr>
        <w:t>% à 4</w:t>
      </w:r>
      <w:r w:rsidR="003527F6" w:rsidRPr="00560180">
        <w:rPr>
          <w:rFonts w:ascii="Avenir LT Std 55 Roman" w:hAnsi="Avenir LT Std 55 Roman"/>
          <w:sz w:val="22"/>
          <w:szCs w:val="22"/>
        </w:rPr>
        <w:t xml:space="preserve"> </w:t>
      </w:r>
      <w:r w:rsidRPr="00560180">
        <w:rPr>
          <w:rFonts w:ascii="Avenir LT Std 55 Roman" w:hAnsi="Avenir LT Std 55 Roman"/>
          <w:sz w:val="22"/>
          <w:szCs w:val="22"/>
        </w:rPr>
        <w:t>% pour un salaire dans le tiers moyen et de 0</w:t>
      </w:r>
      <w:r w:rsidR="003527F6" w:rsidRPr="00560180">
        <w:rPr>
          <w:rFonts w:ascii="Avenir LT Std 55 Roman" w:hAnsi="Avenir LT Std 55 Roman"/>
          <w:sz w:val="22"/>
          <w:szCs w:val="22"/>
        </w:rPr>
        <w:t xml:space="preserve"> </w:t>
      </w:r>
      <w:r w:rsidRPr="00560180">
        <w:rPr>
          <w:rFonts w:ascii="Avenir LT Std 55 Roman" w:hAnsi="Avenir LT Std 55 Roman"/>
          <w:sz w:val="22"/>
          <w:szCs w:val="22"/>
        </w:rPr>
        <w:t>% à 2</w:t>
      </w:r>
      <w:r w:rsidR="003527F6" w:rsidRPr="00560180">
        <w:rPr>
          <w:rFonts w:ascii="Avenir LT Std 55 Roman" w:hAnsi="Avenir LT Std 55 Roman"/>
          <w:sz w:val="22"/>
          <w:szCs w:val="22"/>
        </w:rPr>
        <w:t xml:space="preserve"> </w:t>
      </w:r>
      <w:r w:rsidRPr="00560180">
        <w:rPr>
          <w:rFonts w:ascii="Avenir LT Std 55 Roman" w:hAnsi="Avenir LT Std 55 Roman"/>
          <w:sz w:val="22"/>
          <w:szCs w:val="22"/>
        </w:rPr>
        <w:t>% pour un salaire dans le tiers supérieur.</w:t>
      </w:r>
    </w:p>
    <w:p w14:paraId="72A6C3A8" w14:textId="4D670919" w:rsidR="003527F6" w:rsidRPr="00560180" w:rsidRDefault="003527F6" w:rsidP="00EE1817">
      <w:pPr>
        <w:rPr>
          <w:rFonts w:ascii="Avenir LT Std 55 Roman" w:hAnsi="Avenir LT Std 55 Roman"/>
          <w:sz w:val="22"/>
          <w:szCs w:val="22"/>
        </w:rPr>
      </w:pPr>
    </w:p>
    <w:p w14:paraId="04D4EB1D" w14:textId="63A4FCC1" w:rsidR="003527F6" w:rsidRPr="00560180" w:rsidRDefault="003527F6" w:rsidP="00EE1817">
      <w:pPr>
        <w:rPr>
          <w:rFonts w:ascii="Avenir LT Std 55 Roman" w:hAnsi="Avenir LT Std 55 Roman"/>
          <w:sz w:val="22"/>
          <w:szCs w:val="22"/>
        </w:rPr>
      </w:pPr>
      <w:r w:rsidRPr="00560180">
        <w:rPr>
          <w:rFonts w:ascii="Avenir LT Std 55 Roman" w:hAnsi="Avenir LT Std 55 Roman"/>
          <w:sz w:val="22"/>
          <w:szCs w:val="22"/>
        </w:rPr>
        <w:t>Le pourcentage accordé variera en fonction des capacités financières de CAH et le niveau de rendement de la DG tel que déterminé dans son évaluation</w:t>
      </w:r>
      <w:r w:rsidR="00DB2EC2" w:rsidRPr="00560180">
        <w:rPr>
          <w:rFonts w:ascii="Avenir LT Std 55 Roman" w:hAnsi="Avenir LT Std 55 Roman"/>
          <w:sz w:val="22"/>
          <w:szCs w:val="22"/>
        </w:rPr>
        <w:t xml:space="preserve"> d</w:t>
      </w:r>
      <w:r w:rsidR="001872E9" w:rsidRPr="00560180">
        <w:rPr>
          <w:rFonts w:ascii="Avenir LT Std 55 Roman" w:hAnsi="Avenir LT Std 55 Roman"/>
          <w:sz w:val="22"/>
          <w:szCs w:val="22"/>
        </w:rPr>
        <w:t>u</w:t>
      </w:r>
      <w:r w:rsidR="00DB2EC2" w:rsidRPr="00560180">
        <w:rPr>
          <w:rFonts w:ascii="Avenir LT Std 55 Roman" w:hAnsi="Avenir LT Std 55 Roman"/>
          <w:sz w:val="22"/>
          <w:szCs w:val="22"/>
        </w:rPr>
        <w:t xml:space="preserve"> rendement annuelle.</w:t>
      </w:r>
    </w:p>
    <w:p w14:paraId="09A61910" w14:textId="77777777" w:rsidR="00DC221C" w:rsidRPr="00560180" w:rsidRDefault="00DC221C" w:rsidP="0058126B">
      <w:pPr>
        <w:rPr>
          <w:rFonts w:ascii="Avenir LT Std 55 Roman" w:hAnsi="Avenir LT Std 55 Roman"/>
          <w:sz w:val="22"/>
          <w:szCs w:val="22"/>
        </w:rPr>
      </w:pPr>
    </w:p>
    <w:p w14:paraId="25328D57" w14:textId="30EC7C27" w:rsidR="008C20D4" w:rsidRPr="00560180" w:rsidRDefault="008C20D4" w:rsidP="008C20D4">
      <w:pPr>
        <w:rPr>
          <w:rFonts w:ascii="Avenir LT Std 55 Roman" w:hAnsi="Avenir LT Std 55 Roman"/>
          <w:b/>
          <w:smallCaps/>
          <w:sz w:val="28"/>
          <w:szCs w:val="28"/>
        </w:rPr>
      </w:pPr>
      <w:r w:rsidRPr="00560180">
        <w:rPr>
          <w:rFonts w:ascii="Avenir LT Std 55 Roman" w:hAnsi="Avenir LT Std 55 Roman"/>
          <w:b/>
          <w:smallCaps/>
          <w:sz w:val="28"/>
          <w:szCs w:val="28"/>
        </w:rPr>
        <w:t>Portée</w:t>
      </w:r>
    </w:p>
    <w:p w14:paraId="7B63AF2B" w14:textId="77777777" w:rsidR="00DA68CA" w:rsidRPr="00560180" w:rsidRDefault="00DA68CA" w:rsidP="008C20D4">
      <w:pPr>
        <w:rPr>
          <w:rFonts w:ascii="Avenir LT Std 55 Roman" w:hAnsi="Avenir LT Std 55 Roman"/>
          <w:b/>
          <w:smallCaps/>
          <w:sz w:val="28"/>
          <w:szCs w:val="28"/>
        </w:rPr>
      </w:pPr>
    </w:p>
    <w:p w14:paraId="0DCD0EFD" w14:textId="4F9B960E" w:rsidR="008C20D4" w:rsidRPr="00560180" w:rsidRDefault="008C20D4" w:rsidP="008C20D4">
      <w:pPr>
        <w:rPr>
          <w:rFonts w:ascii="Avenir LT Std 55 Roman" w:hAnsi="Avenir LT Std 55 Roman"/>
          <w:sz w:val="22"/>
          <w:szCs w:val="22"/>
        </w:rPr>
      </w:pPr>
      <w:r w:rsidRPr="00560180">
        <w:rPr>
          <w:rFonts w:ascii="Avenir LT Std 55 Roman" w:hAnsi="Avenir LT Std 55 Roman"/>
          <w:sz w:val="22"/>
          <w:szCs w:val="22"/>
        </w:rPr>
        <w:t xml:space="preserve">Cette politique s’applique </w:t>
      </w:r>
      <w:r w:rsidR="00E84EC2" w:rsidRPr="00560180">
        <w:rPr>
          <w:rFonts w:ascii="Avenir LT Std 55 Roman" w:hAnsi="Avenir LT Std 55 Roman"/>
          <w:sz w:val="22"/>
          <w:szCs w:val="22"/>
        </w:rPr>
        <w:t xml:space="preserve">lors de la nomination d'une </w:t>
      </w:r>
      <w:r w:rsidR="00DB2EC2" w:rsidRPr="00560180">
        <w:rPr>
          <w:rFonts w:ascii="Avenir LT Std 55 Roman" w:hAnsi="Avenir LT Std 55 Roman"/>
          <w:sz w:val="22"/>
          <w:szCs w:val="22"/>
        </w:rPr>
        <w:t xml:space="preserve">nouvelle </w:t>
      </w:r>
      <w:r w:rsidR="00E15448" w:rsidRPr="00560180">
        <w:rPr>
          <w:rFonts w:ascii="Avenir LT Std 55 Roman" w:hAnsi="Avenir LT Std 55 Roman"/>
          <w:sz w:val="22"/>
          <w:szCs w:val="22"/>
        </w:rPr>
        <w:t>DG</w:t>
      </w:r>
      <w:r w:rsidR="00E84EC2" w:rsidRPr="00560180">
        <w:rPr>
          <w:rFonts w:ascii="Avenir LT Std 55 Roman" w:hAnsi="Avenir LT Std 55 Roman"/>
          <w:sz w:val="22"/>
          <w:szCs w:val="22"/>
        </w:rPr>
        <w:t xml:space="preserve"> et à la suite d'une év</w:t>
      </w:r>
      <w:r w:rsidR="00A758FD" w:rsidRPr="00560180">
        <w:rPr>
          <w:rFonts w:ascii="Avenir LT Std 55 Roman" w:hAnsi="Avenir LT Std 55 Roman"/>
          <w:sz w:val="22"/>
          <w:szCs w:val="22"/>
        </w:rPr>
        <w:t>aluation d</w:t>
      </w:r>
      <w:r w:rsidR="001872E9" w:rsidRPr="00560180">
        <w:rPr>
          <w:rFonts w:ascii="Avenir LT Std 55 Roman" w:hAnsi="Avenir LT Std 55 Roman"/>
          <w:sz w:val="22"/>
          <w:szCs w:val="22"/>
        </w:rPr>
        <w:t>u</w:t>
      </w:r>
      <w:r w:rsidR="00A758FD" w:rsidRPr="00560180">
        <w:rPr>
          <w:rFonts w:ascii="Avenir LT Std 55 Roman" w:hAnsi="Avenir LT Std 55 Roman"/>
          <w:sz w:val="22"/>
          <w:szCs w:val="22"/>
        </w:rPr>
        <w:t xml:space="preserve"> rendement annuelle </w:t>
      </w:r>
      <w:r w:rsidR="00DB2EC2" w:rsidRPr="00560180">
        <w:rPr>
          <w:rFonts w:ascii="Avenir LT Std 55 Roman" w:hAnsi="Avenir LT Std 55 Roman"/>
          <w:sz w:val="22"/>
          <w:szCs w:val="22"/>
        </w:rPr>
        <w:t xml:space="preserve">d’une </w:t>
      </w:r>
      <w:r w:rsidR="00E15448" w:rsidRPr="00560180">
        <w:rPr>
          <w:rFonts w:ascii="Avenir LT Std 55 Roman" w:hAnsi="Avenir LT Std 55 Roman"/>
          <w:sz w:val="22"/>
          <w:szCs w:val="22"/>
        </w:rPr>
        <w:t>DG</w:t>
      </w:r>
      <w:r w:rsidR="00DB2EC2" w:rsidRPr="00560180">
        <w:rPr>
          <w:rFonts w:ascii="Avenir LT Std 55 Roman" w:hAnsi="Avenir LT Std 55 Roman"/>
          <w:sz w:val="22"/>
          <w:szCs w:val="22"/>
        </w:rPr>
        <w:t xml:space="preserve"> en poste </w:t>
      </w:r>
      <w:r w:rsidR="00A758FD" w:rsidRPr="00560180">
        <w:rPr>
          <w:rFonts w:ascii="Avenir LT Std 55 Roman" w:hAnsi="Avenir LT Std 55 Roman"/>
          <w:sz w:val="22"/>
          <w:szCs w:val="22"/>
        </w:rPr>
        <w:t>pour définir son salaire.</w:t>
      </w:r>
    </w:p>
    <w:p w14:paraId="6F2FAA2F" w14:textId="77777777" w:rsidR="008C20D4" w:rsidRPr="00560180" w:rsidRDefault="008C20D4" w:rsidP="008C20D4">
      <w:pPr>
        <w:rPr>
          <w:rFonts w:ascii="Avenir LT Std 55 Roman" w:hAnsi="Avenir LT Std 55 Roman"/>
          <w:b/>
          <w:smallCaps/>
          <w:sz w:val="28"/>
          <w:szCs w:val="28"/>
        </w:rPr>
      </w:pPr>
    </w:p>
    <w:p w14:paraId="05DFA9E4" w14:textId="0EC0D9D9" w:rsidR="00E7258F" w:rsidRPr="00560180" w:rsidRDefault="00011C23" w:rsidP="008C20D4">
      <w:pPr>
        <w:rPr>
          <w:rFonts w:ascii="Avenir LT Std 55 Roman" w:hAnsi="Avenir LT Std 55 Roman"/>
          <w:b/>
          <w:smallCaps/>
          <w:sz w:val="28"/>
          <w:szCs w:val="28"/>
        </w:rPr>
      </w:pPr>
      <w:r w:rsidRPr="00560180">
        <w:rPr>
          <w:rFonts w:ascii="Avenir LT Std 55 Roman" w:hAnsi="Avenir LT Std 55 Roman"/>
          <w:b/>
          <w:smallCaps/>
          <w:sz w:val="28"/>
          <w:szCs w:val="28"/>
        </w:rPr>
        <w:t>P</w:t>
      </w:r>
      <w:r w:rsidR="00A5101F" w:rsidRPr="00560180">
        <w:rPr>
          <w:rFonts w:ascii="Avenir LT Std 55 Roman" w:hAnsi="Avenir LT Std 55 Roman"/>
          <w:b/>
          <w:smallCaps/>
          <w:sz w:val="28"/>
          <w:szCs w:val="28"/>
        </w:rPr>
        <w:t>olitiques et procédures pertinentes</w:t>
      </w:r>
    </w:p>
    <w:p w14:paraId="17720E82" w14:textId="77777777" w:rsidR="00DA68CA" w:rsidRPr="00560180" w:rsidRDefault="00DA68CA" w:rsidP="008C20D4">
      <w:pPr>
        <w:rPr>
          <w:rFonts w:ascii="Avenir LT Std 55 Roman" w:hAnsi="Avenir LT Std 55 Roman"/>
          <w:b/>
          <w:smallCaps/>
          <w:sz w:val="28"/>
          <w:szCs w:val="28"/>
        </w:rPr>
      </w:pPr>
    </w:p>
    <w:p w14:paraId="19C5DCA8" w14:textId="1535391C" w:rsidR="00C10D2D" w:rsidRPr="00560180" w:rsidRDefault="00CD1595" w:rsidP="00B0053D">
      <w:pPr>
        <w:numPr>
          <w:ilvl w:val="0"/>
          <w:numId w:val="11"/>
        </w:numPr>
        <w:jc w:val="both"/>
        <w:rPr>
          <w:rFonts w:ascii="Avenir LT Std 55 Roman" w:hAnsi="Avenir LT Std 55 Roman"/>
          <w:sz w:val="22"/>
          <w:szCs w:val="24"/>
        </w:rPr>
      </w:pPr>
      <w:r w:rsidRPr="00560180">
        <w:rPr>
          <w:rFonts w:ascii="Avenir LT Std 55 Roman" w:hAnsi="Avenir LT Std 55 Roman"/>
          <w:sz w:val="22"/>
          <w:szCs w:val="24"/>
        </w:rPr>
        <w:t>Politique</w:t>
      </w:r>
      <w:r w:rsidR="00C10D2D" w:rsidRPr="00560180">
        <w:rPr>
          <w:rFonts w:ascii="Avenir LT Std 55 Roman" w:hAnsi="Avenir LT Std 55 Roman"/>
          <w:sz w:val="22"/>
          <w:szCs w:val="24"/>
        </w:rPr>
        <w:t xml:space="preserve"> </w:t>
      </w:r>
      <w:r w:rsidR="00056450" w:rsidRPr="00560180">
        <w:rPr>
          <w:rFonts w:ascii="Avenir LT Std 55 Roman" w:hAnsi="Avenir LT Std 55 Roman"/>
          <w:sz w:val="22"/>
          <w:szCs w:val="24"/>
        </w:rPr>
        <w:t xml:space="preserve">et procédure </w:t>
      </w:r>
      <w:r w:rsidR="00C10D2D" w:rsidRPr="00560180">
        <w:rPr>
          <w:rFonts w:ascii="Avenir LT Std 55 Roman" w:hAnsi="Avenir LT Std 55 Roman"/>
          <w:sz w:val="22"/>
          <w:szCs w:val="24"/>
        </w:rPr>
        <w:t>de nomination de la Direction générale</w:t>
      </w:r>
    </w:p>
    <w:p w14:paraId="56AECC0E" w14:textId="18B8C325" w:rsidR="00C10D2D" w:rsidRPr="00560180" w:rsidRDefault="00CC4B5A" w:rsidP="00B0053D">
      <w:pPr>
        <w:numPr>
          <w:ilvl w:val="0"/>
          <w:numId w:val="11"/>
        </w:numPr>
        <w:jc w:val="both"/>
        <w:rPr>
          <w:rFonts w:ascii="Avenir LT Std 55 Roman" w:hAnsi="Avenir LT Std 55 Roman"/>
          <w:sz w:val="22"/>
          <w:szCs w:val="24"/>
        </w:rPr>
      </w:pPr>
      <w:r w:rsidRPr="00560180">
        <w:rPr>
          <w:rFonts w:ascii="Avenir LT Std 55 Roman" w:hAnsi="Avenir LT Std 55 Roman"/>
          <w:sz w:val="22"/>
          <w:szCs w:val="24"/>
        </w:rPr>
        <w:t>Politique sur l'évaluation de la Direction générale</w:t>
      </w:r>
    </w:p>
    <w:p w14:paraId="032315EC" w14:textId="7AF6C4F6" w:rsidR="00056450" w:rsidRPr="00560180" w:rsidRDefault="00056450" w:rsidP="00B0053D">
      <w:pPr>
        <w:numPr>
          <w:ilvl w:val="0"/>
          <w:numId w:val="11"/>
        </w:numPr>
        <w:jc w:val="both"/>
        <w:rPr>
          <w:rFonts w:ascii="Avenir LT Std 55 Roman" w:hAnsi="Avenir LT Std 55 Roman"/>
          <w:sz w:val="22"/>
          <w:szCs w:val="24"/>
        </w:rPr>
      </w:pPr>
      <w:r w:rsidRPr="00560180">
        <w:rPr>
          <w:rFonts w:ascii="Avenir LT Std 55 Roman" w:hAnsi="Avenir LT Std 55 Roman"/>
          <w:w w:val="105"/>
          <w:sz w:val="22"/>
          <w:szCs w:val="22"/>
        </w:rPr>
        <w:t>Rôle du Conseil d’administration et des membres</w:t>
      </w:r>
    </w:p>
    <w:p w14:paraId="45E7A2A9" w14:textId="77777777" w:rsidR="00B0053D" w:rsidRPr="00560180" w:rsidRDefault="00B0053D" w:rsidP="00B0053D">
      <w:pPr>
        <w:numPr>
          <w:ilvl w:val="0"/>
          <w:numId w:val="11"/>
        </w:numPr>
        <w:jc w:val="both"/>
        <w:rPr>
          <w:rFonts w:ascii="Avenir LT Std 55 Roman" w:hAnsi="Avenir LT Std 55 Roman"/>
          <w:sz w:val="22"/>
          <w:szCs w:val="24"/>
        </w:rPr>
      </w:pPr>
      <w:r w:rsidRPr="00560180">
        <w:rPr>
          <w:rFonts w:ascii="Avenir LT Std 55 Roman" w:hAnsi="Avenir LT Std 55 Roman"/>
          <w:sz w:val="22"/>
          <w:szCs w:val="24"/>
        </w:rPr>
        <w:t>Cadre de référence en matière d’éthique</w:t>
      </w:r>
    </w:p>
    <w:p w14:paraId="625808BB" w14:textId="77777777" w:rsidR="00B0053D" w:rsidRPr="00560180" w:rsidRDefault="00B0053D" w:rsidP="00B0053D">
      <w:pPr>
        <w:numPr>
          <w:ilvl w:val="0"/>
          <w:numId w:val="11"/>
        </w:numPr>
        <w:jc w:val="both"/>
        <w:rPr>
          <w:rFonts w:ascii="Avenir LT Std 55 Roman" w:hAnsi="Avenir LT Std 55 Roman"/>
          <w:sz w:val="22"/>
          <w:szCs w:val="24"/>
        </w:rPr>
      </w:pPr>
      <w:r w:rsidRPr="00560180">
        <w:rPr>
          <w:rFonts w:ascii="Avenir LT Std 55 Roman" w:hAnsi="Avenir LT Std 55 Roman"/>
          <w:sz w:val="22"/>
          <w:szCs w:val="24"/>
        </w:rPr>
        <w:t>Code d’éthique</w:t>
      </w:r>
    </w:p>
    <w:p w14:paraId="66A7DD51" w14:textId="77777777" w:rsidR="000B6797" w:rsidRPr="00560180" w:rsidRDefault="000B6797" w:rsidP="000B6797">
      <w:pPr>
        <w:ind w:left="720"/>
        <w:jc w:val="both"/>
        <w:rPr>
          <w:rFonts w:ascii="Avenir LT Std 55 Roman" w:hAnsi="Avenir LT Std 55 Roman"/>
          <w:sz w:val="22"/>
          <w:szCs w:val="24"/>
        </w:rPr>
      </w:pPr>
    </w:p>
    <w:p w14:paraId="7FCEBF30" w14:textId="5AE5073A" w:rsidR="00176935" w:rsidRPr="00560180" w:rsidRDefault="00176935" w:rsidP="00F33708">
      <w:pPr>
        <w:rPr>
          <w:rFonts w:ascii="Avenir LT Std 55 Roman" w:hAnsi="Avenir LT Std 55 Roman"/>
          <w:sz w:val="22"/>
          <w:szCs w:val="24"/>
        </w:rPr>
      </w:pPr>
    </w:p>
    <w:sectPr w:rsidR="00176935" w:rsidRPr="00560180" w:rsidSect="00560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E22BC" w14:textId="77777777" w:rsidR="00814FA3" w:rsidRDefault="00814FA3">
      <w:r>
        <w:separator/>
      </w:r>
    </w:p>
  </w:endnote>
  <w:endnote w:type="continuationSeparator" w:id="0">
    <w:p w14:paraId="154F4440" w14:textId="77777777" w:rsidR="00814FA3" w:rsidRDefault="0081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5031" w14:textId="77777777" w:rsidR="00560180" w:rsidRDefault="005601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C0DA" w14:textId="26F26A8C" w:rsidR="00560180" w:rsidRPr="00F12DCE" w:rsidRDefault="00560180" w:rsidP="00560180">
    <w:pPr>
      <w:pStyle w:val="Footer"/>
      <w:rPr>
        <w:rFonts w:ascii="Corbel" w:hAnsi="Corbel"/>
      </w:rPr>
    </w:pPr>
    <w:r w:rsidRPr="00F12DCE">
      <w:rPr>
        <w:rFonts w:ascii="Corbel" w:hAnsi="Corbel" w:cs="Arial"/>
        <w:lang w:val="fr-FR"/>
      </w:rPr>
      <w:t xml:space="preserve">Politique sur </w:t>
    </w:r>
    <w:r>
      <w:rPr>
        <w:rFonts w:ascii="Corbel" w:hAnsi="Corbel" w:cs="Arial"/>
        <w:lang w:val="fr-FR"/>
      </w:rPr>
      <w:t>la rémunération</w:t>
    </w:r>
    <w:r>
      <w:rPr>
        <w:rFonts w:ascii="Corbel" w:hAnsi="Corbel" w:cs="Arial"/>
      </w:rPr>
      <w:t xml:space="preserve"> de la DG</w:t>
    </w:r>
    <w:r w:rsidRPr="00F12DCE">
      <w:rPr>
        <w:rFonts w:ascii="Corbel" w:hAnsi="Corbel" w:cs="Arial"/>
        <w:lang w:val="fr-FR"/>
      </w:rPr>
      <w:t xml:space="preserve">: </w:t>
    </w:r>
    <w:r w:rsidRPr="00BB5544">
      <w:rPr>
        <w:rFonts w:ascii="Corbel" w:hAnsi="Corbel" w:cs="Arial"/>
        <w:lang w:val="fr-FR"/>
      </w:rPr>
      <w:t>GOUV-001-0</w:t>
    </w:r>
    <w:r>
      <w:rPr>
        <w:rFonts w:ascii="Corbel" w:hAnsi="Corbel" w:cs="Arial"/>
        <w:lang w:val="fr-FR"/>
      </w:rPr>
      <w:t xml:space="preserve">6      </w:t>
    </w:r>
    <w:r>
      <w:rPr>
        <w:rFonts w:ascii="Corbel" w:hAnsi="Corbel" w:cs="Arial"/>
        <w:lang w:val="fr-FR"/>
      </w:rPr>
      <w:tab/>
    </w:r>
    <w:r w:rsidRPr="00F12DCE">
      <w:rPr>
        <w:rFonts w:ascii="Corbel" w:hAnsi="Corbel" w:cs="Arial"/>
        <w:lang w:val="fr-FR"/>
      </w:rPr>
      <w:t>Page :</w:t>
    </w:r>
    <w:r w:rsidRPr="00F12DCE">
      <w:rPr>
        <w:rFonts w:ascii="Corbel" w:eastAsia="Arial" w:hAnsi="Corbel" w:cs="Arial"/>
        <w:lang w:val="fr-FR"/>
      </w:rPr>
      <w:t xml:space="preserve"> </w:t>
    </w:r>
    <w:r w:rsidRPr="00F12DCE">
      <w:rPr>
        <w:rFonts w:ascii="Corbel" w:hAnsi="Corbel" w:cs="Arial"/>
        <w:lang w:val="fr-FR"/>
      </w:rPr>
      <w:fldChar w:fldCharType="begin"/>
    </w:r>
    <w:r w:rsidRPr="00F12DCE">
      <w:rPr>
        <w:rFonts w:ascii="Corbel" w:hAnsi="Corbel" w:cs="Arial"/>
        <w:lang w:val="fr-FR"/>
      </w:rPr>
      <w:instrText xml:space="preserve"> PAGE </w:instrText>
    </w:r>
    <w:r w:rsidRPr="00F12DCE">
      <w:rPr>
        <w:rFonts w:ascii="Corbel" w:hAnsi="Corbel" w:cs="Arial"/>
        <w:lang w:val="fr-FR"/>
      </w:rPr>
      <w:fldChar w:fldCharType="separate"/>
    </w:r>
    <w:r w:rsidR="008E058C">
      <w:rPr>
        <w:rFonts w:ascii="Corbel" w:hAnsi="Corbel" w:cs="Arial"/>
        <w:noProof/>
        <w:lang w:val="fr-FR"/>
      </w:rPr>
      <w:t>2</w:t>
    </w:r>
    <w:r w:rsidRPr="00F12DCE">
      <w:rPr>
        <w:rFonts w:ascii="Corbel" w:hAnsi="Corbel" w:cs="Arial"/>
        <w:lang w:val="fr-FR"/>
      </w:rPr>
      <w:fldChar w:fldCharType="end"/>
    </w:r>
    <w:r w:rsidRPr="00F12DCE">
      <w:rPr>
        <w:rFonts w:ascii="Corbel" w:eastAsia="Arial" w:hAnsi="Corbel" w:cs="Arial"/>
        <w:lang w:val="fr-FR"/>
      </w:rPr>
      <w:t xml:space="preserve"> </w:t>
    </w:r>
    <w:r w:rsidRPr="00F12DCE">
      <w:rPr>
        <w:rFonts w:ascii="Corbel" w:hAnsi="Corbel" w:cs="Arial"/>
        <w:lang w:val="fr-FR"/>
      </w:rPr>
      <w:t>/</w:t>
    </w:r>
    <w:r w:rsidRPr="00F12DCE">
      <w:rPr>
        <w:rFonts w:ascii="Corbel" w:eastAsia="Arial" w:hAnsi="Corbel" w:cs="Arial"/>
        <w:lang w:val="fr-FR"/>
      </w:rPr>
      <w:t xml:space="preserve"> </w:t>
    </w:r>
    <w:r w:rsidRPr="00F12DCE">
      <w:rPr>
        <w:rStyle w:val="PageNumber"/>
        <w:rFonts w:ascii="Corbel" w:hAnsi="Corbel" w:cs="Arial"/>
        <w:lang w:val="fr-FR"/>
      </w:rPr>
      <w:fldChar w:fldCharType="begin"/>
    </w:r>
    <w:r w:rsidRPr="00F12DCE">
      <w:rPr>
        <w:rStyle w:val="PageNumber"/>
        <w:rFonts w:ascii="Corbel" w:hAnsi="Corbel" w:cs="Arial"/>
        <w:lang w:val="fr-FR"/>
      </w:rPr>
      <w:instrText xml:space="preserve"> NUMPAGES \*Arabic </w:instrText>
    </w:r>
    <w:r w:rsidRPr="00F12DCE">
      <w:rPr>
        <w:rStyle w:val="PageNumber"/>
        <w:rFonts w:ascii="Corbel" w:hAnsi="Corbel" w:cs="Arial"/>
        <w:lang w:val="fr-FR"/>
      </w:rPr>
      <w:fldChar w:fldCharType="separate"/>
    </w:r>
    <w:r w:rsidR="008E058C">
      <w:rPr>
        <w:rStyle w:val="PageNumber"/>
        <w:rFonts w:ascii="Corbel" w:hAnsi="Corbel" w:cs="Arial"/>
        <w:noProof/>
        <w:lang w:val="fr-FR"/>
      </w:rPr>
      <w:t>2</w:t>
    </w:r>
    <w:r w:rsidRPr="00F12DCE">
      <w:rPr>
        <w:rStyle w:val="PageNumber"/>
        <w:rFonts w:ascii="Corbel" w:hAnsi="Corbel" w:cs="Arial"/>
        <w:lang w:val="fr-FR"/>
      </w:rPr>
      <w:fldChar w:fldCharType="end"/>
    </w:r>
  </w:p>
  <w:p w14:paraId="7289B217" w14:textId="77777777" w:rsidR="00722AE4" w:rsidRPr="005472D2" w:rsidRDefault="00722AE4" w:rsidP="00BA283B">
    <w:pPr>
      <w:pStyle w:val="Footer"/>
      <w:tabs>
        <w:tab w:val="clear" w:pos="8640"/>
        <w:tab w:val="right" w:pos="9360"/>
      </w:tabs>
      <w:rPr>
        <w:rFonts w:ascii="Avenir LT Std 55 Roman" w:hAnsi="Avenir LT Std 55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C143E" w14:textId="63D433FF" w:rsidR="00560180" w:rsidRDefault="00560180">
    <w:pPr>
      <w:pStyle w:val="Footer"/>
    </w:pPr>
    <w:r w:rsidRPr="00F12DCE">
      <w:rPr>
        <w:rFonts w:ascii="Corbel" w:hAnsi="Corbel" w:cs="Arial"/>
        <w:lang w:val="fr-FR"/>
      </w:rPr>
      <w:t xml:space="preserve">Politique sur </w:t>
    </w:r>
    <w:r>
      <w:rPr>
        <w:rFonts w:ascii="Corbel" w:hAnsi="Corbel" w:cs="Arial"/>
        <w:lang w:val="fr-FR"/>
      </w:rPr>
      <w:t>la rémunération</w:t>
    </w:r>
    <w:r>
      <w:rPr>
        <w:rFonts w:ascii="Corbel" w:hAnsi="Corbel" w:cs="Arial"/>
      </w:rPr>
      <w:t xml:space="preserve"> de la DG</w:t>
    </w:r>
    <w:r w:rsidRPr="00F12DCE">
      <w:rPr>
        <w:rFonts w:ascii="Corbel" w:hAnsi="Corbel" w:cs="Arial"/>
        <w:lang w:val="fr-FR"/>
      </w:rPr>
      <w:t xml:space="preserve">: </w:t>
    </w:r>
    <w:r w:rsidRPr="00BB5544">
      <w:rPr>
        <w:rFonts w:ascii="Corbel" w:hAnsi="Corbel" w:cs="Arial"/>
        <w:lang w:val="fr-FR"/>
      </w:rPr>
      <w:t>GOUV-001-0</w:t>
    </w:r>
    <w:r>
      <w:rPr>
        <w:rFonts w:ascii="Corbel" w:hAnsi="Corbel" w:cs="Arial"/>
        <w:lang w:val="fr-FR"/>
      </w:rPr>
      <w:t xml:space="preserve">6    </w:t>
    </w:r>
    <w:r>
      <w:rPr>
        <w:rFonts w:ascii="Corbel" w:hAnsi="Corbel" w:cs="Arial"/>
        <w:lang w:val="fr-FR"/>
      </w:rPr>
      <w:tab/>
      <w:t xml:space="preserve"> </w:t>
    </w:r>
    <w:r w:rsidRPr="00F12DCE">
      <w:rPr>
        <w:rFonts w:ascii="Corbel" w:hAnsi="Corbel" w:cs="Arial"/>
        <w:lang w:val="fr-FR"/>
      </w:rPr>
      <w:t>Page :</w:t>
    </w:r>
    <w:r w:rsidRPr="00F12DCE">
      <w:rPr>
        <w:rFonts w:ascii="Corbel" w:eastAsia="Arial" w:hAnsi="Corbel" w:cs="Arial"/>
        <w:lang w:val="fr-FR"/>
      </w:rPr>
      <w:t xml:space="preserve"> </w:t>
    </w:r>
    <w:r w:rsidRPr="00F12DCE">
      <w:rPr>
        <w:rFonts w:ascii="Corbel" w:hAnsi="Corbel" w:cs="Arial"/>
        <w:lang w:val="fr-FR"/>
      </w:rPr>
      <w:fldChar w:fldCharType="begin"/>
    </w:r>
    <w:r w:rsidRPr="00F12DCE">
      <w:rPr>
        <w:rFonts w:ascii="Corbel" w:hAnsi="Corbel" w:cs="Arial"/>
        <w:lang w:val="fr-FR"/>
      </w:rPr>
      <w:instrText xml:space="preserve"> PAGE </w:instrText>
    </w:r>
    <w:r w:rsidRPr="00F12DCE">
      <w:rPr>
        <w:rFonts w:ascii="Corbel" w:hAnsi="Corbel" w:cs="Arial"/>
        <w:lang w:val="fr-FR"/>
      </w:rPr>
      <w:fldChar w:fldCharType="separate"/>
    </w:r>
    <w:r w:rsidR="008E058C">
      <w:rPr>
        <w:rFonts w:ascii="Corbel" w:hAnsi="Corbel" w:cs="Arial"/>
        <w:noProof/>
        <w:lang w:val="fr-FR"/>
      </w:rPr>
      <w:t>1</w:t>
    </w:r>
    <w:r w:rsidRPr="00F12DCE">
      <w:rPr>
        <w:rFonts w:ascii="Corbel" w:hAnsi="Corbel" w:cs="Arial"/>
        <w:lang w:val="fr-FR"/>
      </w:rPr>
      <w:fldChar w:fldCharType="end"/>
    </w:r>
    <w:r w:rsidRPr="00F12DCE">
      <w:rPr>
        <w:rFonts w:ascii="Corbel" w:eastAsia="Arial" w:hAnsi="Corbel" w:cs="Arial"/>
        <w:lang w:val="fr-FR"/>
      </w:rPr>
      <w:t xml:space="preserve"> </w:t>
    </w:r>
    <w:r w:rsidRPr="00F12DCE">
      <w:rPr>
        <w:rFonts w:ascii="Corbel" w:hAnsi="Corbel" w:cs="Arial"/>
        <w:lang w:val="fr-FR"/>
      </w:rPr>
      <w:t>/</w:t>
    </w:r>
    <w:r w:rsidRPr="00F12DCE">
      <w:rPr>
        <w:rFonts w:ascii="Corbel" w:eastAsia="Arial" w:hAnsi="Corbel" w:cs="Arial"/>
        <w:lang w:val="fr-FR"/>
      </w:rPr>
      <w:t xml:space="preserve"> </w:t>
    </w:r>
    <w:r w:rsidRPr="00F12DCE">
      <w:rPr>
        <w:rStyle w:val="PageNumber"/>
        <w:rFonts w:ascii="Corbel" w:hAnsi="Corbel" w:cs="Arial"/>
        <w:lang w:val="fr-FR"/>
      </w:rPr>
      <w:fldChar w:fldCharType="begin"/>
    </w:r>
    <w:r w:rsidRPr="00F12DCE">
      <w:rPr>
        <w:rStyle w:val="PageNumber"/>
        <w:rFonts w:ascii="Corbel" w:hAnsi="Corbel" w:cs="Arial"/>
        <w:lang w:val="fr-FR"/>
      </w:rPr>
      <w:instrText xml:space="preserve"> NUMPAGES \*Arabic </w:instrText>
    </w:r>
    <w:r w:rsidRPr="00F12DCE">
      <w:rPr>
        <w:rStyle w:val="PageNumber"/>
        <w:rFonts w:ascii="Corbel" w:hAnsi="Corbel" w:cs="Arial"/>
        <w:lang w:val="fr-FR"/>
      </w:rPr>
      <w:fldChar w:fldCharType="separate"/>
    </w:r>
    <w:r w:rsidR="008E058C">
      <w:rPr>
        <w:rStyle w:val="PageNumber"/>
        <w:rFonts w:ascii="Corbel" w:hAnsi="Corbel" w:cs="Arial"/>
        <w:noProof/>
        <w:lang w:val="fr-FR"/>
      </w:rPr>
      <w:t>2</w:t>
    </w:r>
    <w:r w:rsidRPr="00F12DCE">
      <w:rPr>
        <w:rStyle w:val="PageNumber"/>
        <w:rFonts w:ascii="Corbel" w:hAnsi="Corbel" w:cs="Arial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0CCA9" w14:textId="77777777" w:rsidR="00814FA3" w:rsidRDefault="00814FA3">
      <w:r>
        <w:separator/>
      </w:r>
    </w:p>
  </w:footnote>
  <w:footnote w:type="continuationSeparator" w:id="0">
    <w:p w14:paraId="7AA2C46E" w14:textId="77777777" w:rsidR="00814FA3" w:rsidRDefault="0081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178E9" w14:textId="77777777" w:rsidR="00560180" w:rsidRDefault="005601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18F04" w14:textId="77777777" w:rsidR="009A077D" w:rsidRPr="00176935" w:rsidRDefault="00722AE4" w:rsidP="00176935">
    <w:pPr>
      <w:pStyle w:val="Header"/>
      <w:jc w:val="right"/>
      <w:rPr>
        <w:rFonts w:ascii="Avenir LT Std 55 Roman" w:hAnsi="Avenir LT Std 55 Roman"/>
        <w:b/>
        <w:sz w:val="28"/>
        <w:szCs w:val="28"/>
      </w:rPr>
    </w:pPr>
    <w:r w:rsidRPr="00176935">
      <w:rPr>
        <w:rFonts w:ascii="Avenir LT Std 55 Roman" w:hAnsi="Avenir LT Std 55 Roman"/>
        <w:b/>
        <w:sz w:val="28"/>
        <w:szCs w:val="28"/>
      </w:rPr>
      <w:tab/>
    </w:r>
  </w:p>
  <w:p w14:paraId="35A24A12" w14:textId="7ABA7911" w:rsidR="00722AE4" w:rsidRPr="00176935" w:rsidRDefault="00722AE4" w:rsidP="00176935">
    <w:pPr>
      <w:pStyle w:val="Header"/>
      <w:jc w:val="right"/>
      <w:rPr>
        <w:rFonts w:ascii="Avenir LT Std 55 Roman" w:hAnsi="Avenir LT Std 55 Roman"/>
        <w:b/>
        <w:sz w:val="28"/>
        <w:szCs w:val="28"/>
      </w:rPr>
    </w:pPr>
    <w:r w:rsidRPr="00176935">
      <w:rPr>
        <w:rFonts w:ascii="Avenir LT Std 55 Roman" w:hAnsi="Avenir LT Std 55 Roman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2658"/>
      <w:gridCol w:w="833"/>
      <w:gridCol w:w="2234"/>
      <w:gridCol w:w="2415"/>
    </w:tblGrid>
    <w:tr w:rsidR="00560180" w14:paraId="03FA15FB" w14:textId="77777777" w:rsidTr="00FB3D43">
      <w:trPr>
        <w:cantSplit/>
        <w:trHeight w:val="416"/>
      </w:trPr>
      <w:tc>
        <w:tcPr>
          <w:tcW w:w="763" w:type="pct"/>
          <w:vMerge w:val="restart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vAlign w:val="center"/>
          <w:hideMark/>
        </w:tcPr>
        <w:p w14:paraId="55C5D2F9" w14:textId="26AA4412" w:rsidR="00560180" w:rsidRDefault="008E058C" w:rsidP="00560180">
          <w:pPr>
            <w:widowControl w:val="0"/>
            <w:autoSpaceDE w:val="0"/>
            <w:autoSpaceDN w:val="0"/>
            <w:adjustRightInd w:val="0"/>
            <w:snapToGrid w:val="0"/>
            <w:jc w:val="center"/>
            <w:rPr>
              <w:sz w:val="24"/>
              <w:szCs w:val="24"/>
              <w:lang w:val="fr-FR" w:eastAsia="fr-FR"/>
            </w:rPr>
          </w:pPr>
          <w:r>
            <w:rPr>
              <w:noProof/>
              <w:lang w:eastAsia="fr-CA"/>
            </w:rPr>
            <w:drawing>
              <wp:inline distT="0" distB="0" distL="0" distR="0" wp14:anchorId="6D023849" wp14:editId="093628E2">
                <wp:extent cx="889619" cy="630820"/>
                <wp:effectExtent l="0" t="0" r="6350" b="0"/>
                <wp:docPr id="1" name="Picture 1" descr="cid:image005.png@01D42F2F.965358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d:image005.png@01D42F2F.965358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82" cy="65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oBack"/>
          <w:bookmarkEnd w:id="1"/>
        </w:p>
      </w:tc>
      <w:tc>
        <w:tcPr>
          <w:tcW w:w="4237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13B88C1" w14:textId="77777777" w:rsidR="00560180" w:rsidRDefault="00560180" w:rsidP="00560180">
          <w:pPr>
            <w:widowControl w:val="0"/>
            <w:autoSpaceDE w:val="0"/>
            <w:autoSpaceDN w:val="0"/>
            <w:adjustRightInd w:val="0"/>
            <w:rPr>
              <w:rFonts w:ascii="Corbel" w:hAnsi="Corbel"/>
              <w:b/>
              <w:sz w:val="36"/>
              <w:szCs w:val="36"/>
              <w:lang w:val="fr-FR" w:eastAsia="fr-FR"/>
            </w:rPr>
          </w:pPr>
          <w:r>
            <w:rPr>
              <w:rFonts w:ascii="Corbel" w:hAnsi="Corbel"/>
              <w:b/>
              <w:lang w:val="fr-FR"/>
            </w:rPr>
            <w:t>POLITIQUES ET PROCÉDURES</w:t>
          </w:r>
          <w:r>
            <w:rPr>
              <w:rFonts w:ascii="Corbel" w:hAnsi="Corbel"/>
              <w:b/>
              <w:sz w:val="28"/>
              <w:szCs w:val="36"/>
              <w:lang w:val="fr-FR"/>
            </w:rPr>
            <w:t xml:space="preserve">                                               </w:t>
          </w:r>
          <w:r>
            <w:rPr>
              <w:rFonts w:ascii="Corbel" w:hAnsi="Corbel"/>
              <w:b/>
              <w:color w:val="FF0000"/>
              <w:sz w:val="18"/>
              <w:szCs w:val="18"/>
              <w:lang w:val="fr-FR"/>
            </w:rPr>
            <w:t xml:space="preserve">                    </w:t>
          </w:r>
          <w:r>
            <w:rPr>
              <w:rFonts w:ascii="Corbel" w:hAnsi="Corbel" w:cs="Arial"/>
              <w:b/>
              <w:lang w:val="fr-FR"/>
            </w:rPr>
            <w:t>GOUV-001-06</w:t>
          </w:r>
        </w:p>
      </w:tc>
    </w:tr>
    <w:tr w:rsidR="00560180" w14:paraId="5783C8D2" w14:textId="77777777" w:rsidTr="00FB3D43">
      <w:trPr>
        <w:cantSplit/>
        <w:trHeight w:val="559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vAlign w:val="center"/>
          <w:hideMark/>
        </w:tcPr>
        <w:p w14:paraId="2C29E4B3" w14:textId="77777777" w:rsidR="00560180" w:rsidRDefault="00560180" w:rsidP="00560180">
          <w:pPr>
            <w:rPr>
              <w:sz w:val="24"/>
              <w:szCs w:val="24"/>
              <w:lang w:val="fr-FR" w:eastAsia="fr-FR"/>
            </w:rPr>
          </w:pPr>
        </w:p>
      </w:tc>
      <w:tc>
        <w:tcPr>
          <w:tcW w:w="182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hideMark/>
        </w:tcPr>
        <w:p w14:paraId="5E376870" w14:textId="77777777" w:rsidR="00560180" w:rsidRDefault="00560180" w:rsidP="00560180">
          <w:pPr>
            <w:widowControl w:val="0"/>
            <w:autoSpaceDE w:val="0"/>
            <w:autoSpaceDN w:val="0"/>
            <w:adjustRightInd w:val="0"/>
            <w:rPr>
              <w:rFonts w:ascii="Corbel" w:hAnsi="Corbel" w:cs="Arial"/>
              <w:b/>
              <w:sz w:val="32"/>
              <w:szCs w:val="32"/>
              <w:lang w:val="fr-FR" w:eastAsia="fr-FR"/>
            </w:rPr>
          </w:pPr>
          <w:r>
            <w:rPr>
              <w:rFonts w:ascii="Corbel" w:hAnsi="Corbel" w:cs="Arial"/>
              <w:b/>
              <w:lang w:val="fr-FR"/>
            </w:rPr>
            <w:t>Gouvernance</w:t>
          </w:r>
        </w:p>
      </w:tc>
      <w:tc>
        <w:tcPr>
          <w:tcW w:w="241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EAE807C" w14:textId="77777777" w:rsidR="00560180" w:rsidRDefault="00560180" w:rsidP="00560180">
          <w:pPr>
            <w:widowControl w:val="0"/>
            <w:autoSpaceDE w:val="0"/>
            <w:autoSpaceDN w:val="0"/>
            <w:adjustRightInd w:val="0"/>
            <w:rPr>
              <w:rFonts w:ascii="Corbel" w:hAnsi="Corbel" w:cs="Arial"/>
              <w:b/>
              <w:sz w:val="32"/>
              <w:szCs w:val="32"/>
              <w:lang w:val="fr-FR" w:eastAsia="fr-FR"/>
            </w:rPr>
          </w:pPr>
          <w:r>
            <w:rPr>
              <w:rFonts w:ascii="Corbel" w:hAnsi="Corbel" w:cs="Arial"/>
              <w:b/>
              <w:lang w:val="fr-FR"/>
            </w:rPr>
            <w:t>Rôles, responsabilités, et obligations</w:t>
          </w:r>
        </w:p>
      </w:tc>
    </w:tr>
    <w:tr w:rsidR="00560180" w14:paraId="0DDF8BCA" w14:textId="77777777" w:rsidTr="00FB3D43">
      <w:trPr>
        <w:cantSplit/>
        <w:trHeight w:val="110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vAlign w:val="center"/>
          <w:hideMark/>
        </w:tcPr>
        <w:p w14:paraId="75BC0DD5" w14:textId="77777777" w:rsidR="00560180" w:rsidRDefault="00560180" w:rsidP="00560180">
          <w:pPr>
            <w:rPr>
              <w:sz w:val="24"/>
              <w:szCs w:val="24"/>
              <w:lang w:val="fr-FR" w:eastAsia="fr-FR"/>
            </w:rPr>
          </w:pPr>
        </w:p>
      </w:tc>
      <w:tc>
        <w:tcPr>
          <w:tcW w:w="138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A6B93A6" w14:textId="77777777" w:rsidR="00560180" w:rsidRDefault="00560180" w:rsidP="00560180">
          <w:pPr>
            <w:rPr>
              <w:rFonts w:ascii="Corbel" w:hAnsi="Corbel" w:cs="Arial"/>
              <w:b/>
              <w:color w:val="FF0000"/>
              <w:sz w:val="18"/>
              <w:szCs w:val="18"/>
              <w:lang w:val="fr-FR" w:eastAsia="fr-FR"/>
            </w:rPr>
          </w:pPr>
          <w:r>
            <w:rPr>
              <w:rFonts w:ascii="Corbel" w:hAnsi="Corbel" w:cs="Arial"/>
              <w:b/>
              <w:lang w:val="fr-FR"/>
            </w:rPr>
            <w:t>Adopté par le CA</w:t>
          </w:r>
          <w:r>
            <w:rPr>
              <w:rFonts w:ascii="Corbel" w:hAnsi="Corbel" w:cs="Arial"/>
              <w:lang w:val="fr-FR"/>
            </w:rPr>
            <w:t xml:space="preserve">: </w:t>
          </w:r>
        </w:p>
        <w:p w14:paraId="1C0C171B" w14:textId="77777777" w:rsidR="00560180" w:rsidRDefault="00560180" w:rsidP="00560180">
          <w:pPr>
            <w:rPr>
              <w:rFonts w:ascii="Corbel" w:hAnsi="Corbel" w:cs="Arial"/>
              <w:lang w:val="fr-FR"/>
            </w:rPr>
          </w:pPr>
          <w:r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  <w:t xml:space="preserve"> </w:t>
          </w:r>
        </w:p>
        <w:p w14:paraId="16DF2B72" w14:textId="77777777" w:rsidR="00560180" w:rsidRDefault="00560180" w:rsidP="00560180">
          <w:pPr>
            <w:widowControl w:val="0"/>
            <w:autoSpaceDE w:val="0"/>
            <w:autoSpaceDN w:val="0"/>
            <w:adjustRightInd w:val="0"/>
            <w:jc w:val="center"/>
            <w:rPr>
              <w:rFonts w:ascii="Corbel" w:hAnsi="Corbel" w:cs="Arial"/>
              <w:b/>
              <w:color w:val="FF0000"/>
              <w:lang w:val="fr-FR" w:eastAsia="fr-FR"/>
            </w:rPr>
          </w:pPr>
          <w:r>
            <w:rPr>
              <w:rFonts w:ascii="Corbel" w:hAnsi="Corbel" w:cs="Arial"/>
              <w:lang w:val="fr-FR"/>
            </w:rPr>
            <w:t>22 février 2018</w:t>
          </w:r>
        </w:p>
      </w:tc>
      <w:tc>
        <w:tcPr>
          <w:tcW w:w="160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A927694" w14:textId="77777777" w:rsidR="00560180" w:rsidRDefault="00560180" w:rsidP="00560180">
          <w:pPr>
            <w:rPr>
              <w:rFonts w:ascii="Corbel" w:hAnsi="Corbel" w:cs="Arial"/>
              <w:color w:val="FF0000"/>
              <w:sz w:val="16"/>
              <w:szCs w:val="16"/>
              <w:lang w:val="fr-FR" w:eastAsia="fr-FR"/>
            </w:rPr>
          </w:pPr>
          <w:r>
            <w:rPr>
              <w:rFonts w:ascii="Corbel" w:hAnsi="Corbel" w:cs="Arial"/>
              <w:b/>
              <w:lang w:val="fr-FR"/>
            </w:rPr>
            <w:t xml:space="preserve">Approbation : </w:t>
          </w:r>
        </w:p>
        <w:p w14:paraId="2FDBCE27" w14:textId="77777777" w:rsidR="00560180" w:rsidRDefault="00560180" w:rsidP="00560180">
          <w:pPr>
            <w:rPr>
              <w:rFonts w:ascii="Corbel" w:hAnsi="Corbel" w:cs="Arial"/>
              <w:b/>
              <w:color w:val="FF0000"/>
              <w:sz w:val="16"/>
              <w:szCs w:val="16"/>
              <w:lang w:val="fr-FR"/>
            </w:rPr>
          </w:pPr>
        </w:p>
        <w:p w14:paraId="1E808576" w14:textId="77777777" w:rsidR="00560180" w:rsidRDefault="00560180" w:rsidP="00560180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ascii="Corbel" w:hAnsi="Corbel" w:cs="Arial"/>
              <w:color w:val="FF0000"/>
              <w:lang w:val="fr-FR" w:eastAsia="fr-FR"/>
            </w:rPr>
          </w:pPr>
        </w:p>
      </w:tc>
      <w:tc>
        <w:tcPr>
          <w:tcW w:w="12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38CCACC" w14:textId="77777777" w:rsidR="00560180" w:rsidRDefault="00560180" w:rsidP="00560180">
          <w:pPr>
            <w:spacing w:line="276" w:lineRule="auto"/>
            <w:rPr>
              <w:rFonts w:ascii="Corbel" w:hAnsi="Corbel" w:cs="Arial"/>
              <w:b/>
              <w:lang w:eastAsia="fr-FR"/>
            </w:rPr>
          </w:pPr>
          <w:r>
            <w:rPr>
              <w:rFonts w:ascii="Corbel" w:hAnsi="Corbel" w:cs="Arial"/>
              <w:b/>
            </w:rPr>
            <w:t xml:space="preserve">À renouveler : </w:t>
          </w:r>
        </w:p>
        <w:p w14:paraId="0B4CC02A" w14:textId="77777777" w:rsidR="00560180" w:rsidRDefault="00560180" w:rsidP="00560180">
          <w:pPr>
            <w:rPr>
              <w:rFonts w:ascii="Corbel" w:hAnsi="Corbel" w:cs="Arial"/>
              <w:b/>
              <w:sz w:val="16"/>
              <w:szCs w:val="16"/>
            </w:rPr>
          </w:pPr>
        </w:p>
        <w:p w14:paraId="1A74CCBF" w14:textId="77777777" w:rsidR="00560180" w:rsidRDefault="00560180" w:rsidP="00560180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ascii="Corbel" w:hAnsi="Corbel" w:cs="Arial"/>
              <w:b/>
              <w:lang w:eastAsia="fr-FR"/>
            </w:rPr>
          </w:pPr>
          <w:r>
            <w:rPr>
              <w:rFonts w:ascii="Corbel" w:hAnsi="Corbel" w:cs="Arial"/>
              <w:lang w:val="fr-FR"/>
            </w:rPr>
            <w:t>Février 2021</w:t>
          </w:r>
        </w:p>
      </w:tc>
    </w:tr>
    <w:tr w:rsidR="00560180" w14:paraId="5F5EFC2F" w14:textId="77777777" w:rsidTr="00FB3D43">
      <w:trPr>
        <w:cantSplit/>
        <w:trHeight w:val="368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4027409" w14:textId="77777777" w:rsidR="00560180" w:rsidRDefault="00560180" w:rsidP="00560180">
          <w:pPr>
            <w:spacing w:line="276" w:lineRule="auto"/>
            <w:rPr>
              <w:rFonts w:ascii="Corbel" w:hAnsi="Corbel" w:cs="Arial"/>
              <w:b/>
              <w:bCs/>
              <w:color w:val="FF0000"/>
              <w:sz w:val="24"/>
              <w:szCs w:val="24"/>
              <w:lang w:eastAsia="fr-FR"/>
            </w:rPr>
          </w:pPr>
          <w:r>
            <w:rPr>
              <w:rFonts w:ascii="Corbel" w:hAnsi="Corbel" w:cs="Arial"/>
              <w:b/>
              <w:bCs/>
            </w:rPr>
            <w:t>TITRE :             Politique sur la rémunération de la Direction générale</w:t>
          </w:r>
        </w:p>
        <w:p w14:paraId="7D2A6B30" w14:textId="77777777" w:rsidR="00560180" w:rsidRDefault="00560180" w:rsidP="00560180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Corbel" w:hAnsi="Corbel" w:cs="Arial"/>
              <w:sz w:val="28"/>
              <w:szCs w:val="28"/>
              <w:lang w:eastAsia="fr-FR"/>
            </w:rPr>
          </w:pPr>
        </w:p>
      </w:tc>
    </w:tr>
    <w:tr w:rsidR="00560180" w14:paraId="6C0C853A" w14:textId="77777777" w:rsidTr="00FB3D43">
      <w:trPr>
        <w:cantSplit/>
        <w:trHeight w:val="36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9FD78B4" w14:textId="77777777" w:rsidR="00560180" w:rsidRDefault="00560180" w:rsidP="00560180">
          <w:pPr>
            <w:widowControl w:val="0"/>
            <w:autoSpaceDE w:val="0"/>
            <w:autoSpaceDN w:val="0"/>
            <w:adjustRightInd w:val="0"/>
            <w:spacing w:line="276" w:lineRule="auto"/>
            <w:rPr>
              <w:rFonts w:ascii="Corbel" w:hAnsi="Corbel" w:cs="Arial"/>
              <w:b/>
              <w:bCs/>
              <w:sz w:val="24"/>
              <w:szCs w:val="24"/>
              <w:lang w:eastAsia="fr-FR"/>
            </w:rPr>
          </w:pPr>
          <w:r>
            <w:rPr>
              <w:rFonts w:ascii="Corbel" w:hAnsi="Corbel"/>
              <w:b/>
              <w:bCs/>
            </w:rPr>
            <w:t>CONCERNE :</w:t>
          </w:r>
          <w:r>
            <w:rPr>
              <w:rFonts w:ascii="Corbel" w:hAnsi="Corbel"/>
              <w:bCs/>
            </w:rPr>
            <w:t xml:space="preserve">  Membres du conseil d’administration </w:t>
          </w:r>
          <w:r>
            <w:rPr>
              <w:rFonts w:ascii="Corbel" w:hAnsi="Corbel"/>
              <w:bCs/>
              <w:sz w:val="28"/>
              <w:szCs w:val="28"/>
            </w:rPr>
            <w:t xml:space="preserve"> </w:t>
          </w:r>
        </w:p>
      </w:tc>
    </w:tr>
    <w:tr w:rsidR="00560180" w14:paraId="444601FC" w14:textId="77777777" w:rsidTr="00FB3D43">
      <w:trPr>
        <w:cantSplit/>
        <w:trHeight w:val="337"/>
      </w:trPr>
      <w:tc>
        <w:tcPr>
          <w:tcW w:w="3745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75FFB3B" w14:textId="77777777" w:rsidR="00560180" w:rsidRDefault="00560180" w:rsidP="00560180">
          <w:pPr>
            <w:widowControl w:val="0"/>
            <w:tabs>
              <w:tab w:val="left" w:pos="5430"/>
            </w:tabs>
            <w:autoSpaceDE w:val="0"/>
            <w:autoSpaceDN w:val="0"/>
            <w:adjustRightInd w:val="0"/>
            <w:spacing w:line="276" w:lineRule="auto"/>
            <w:rPr>
              <w:rFonts w:ascii="Corbel" w:hAnsi="Corbel" w:cs="Arial"/>
              <w:bCs/>
              <w:i/>
              <w:lang w:eastAsia="fr-FR"/>
            </w:rPr>
          </w:pPr>
          <w:r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  <w:tab/>
          </w:r>
        </w:p>
      </w:tc>
      <w:tc>
        <w:tcPr>
          <w:tcW w:w="125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835D554" w14:textId="77777777" w:rsidR="00560180" w:rsidRDefault="00560180" w:rsidP="00560180">
          <w:pPr>
            <w:widowControl w:val="0"/>
            <w:tabs>
              <w:tab w:val="left" w:pos="1162"/>
            </w:tabs>
            <w:autoSpaceDE w:val="0"/>
            <w:autoSpaceDN w:val="0"/>
            <w:adjustRightInd w:val="0"/>
            <w:spacing w:line="276" w:lineRule="auto"/>
            <w:rPr>
              <w:rFonts w:ascii="Corbel" w:hAnsi="Corbel" w:cs="Arial"/>
              <w:b/>
              <w:bCs/>
              <w:lang w:eastAsia="fr-FR"/>
            </w:rPr>
          </w:pPr>
          <w:r>
            <w:rPr>
              <w:rFonts w:ascii="Corbel" w:hAnsi="Corbel" w:cs="Arial"/>
              <w:b/>
              <w:bCs/>
            </w:rPr>
            <w:t>Norme :</w:t>
          </w:r>
          <w:r>
            <w:rPr>
              <w:rFonts w:ascii="Corbel" w:hAnsi="Corbel" w:cs="Arial"/>
              <w:b/>
              <w:bCs/>
            </w:rPr>
            <w:tab/>
            <w:t xml:space="preserve"> </w:t>
          </w:r>
        </w:p>
      </w:tc>
    </w:tr>
  </w:tbl>
  <w:p w14:paraId="1883902A" w14:textId="77777777" w:rsidR="00560180" w:rsidRDefault="005601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128FB8"/>
    <w:multiLevelType w:val="hybridMultilevel"/>
    <w:tmpl w:val="323B8C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55427"/>
    <w:multiLevelType w:val="singleLevel"/>
    <w:tmpl w:val="24A058F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0FB708C0"/>
    <w:multiLevelType w:val="hybridMultilevel"/>
    <w:tmpl w:val="D862D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4BE5"/>
    <w:multiLevelType w:val="hybridMultilevel"/>
    <w:tmpl w:val="9491CC6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4F58E4"/>
    <w:multiLevelType w:val="hybridMultilevel"/>
    <w:tmpl w:val="D564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B79AE"/>
    <w:multiLevelType w:val="hybridMultilevel"/>
    <w:tmpl w:val="C74E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19FE"/>
    <w:multiLevelType w:val="hybridMultilevel"/>
    <w:tmpl w:val="A566A6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BA2334E"/>
    <w:multiLevelType w:val="multilevel"/>
    <w:tmpl w:val="C664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5E0D73"/>
    <w:multiLevelType w:val="hybridMultilevel"/>
    <w:tmpl w:val="56FC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F248E"/>
    <w:multiLevelType w:val="singleLevel"/>
    <w:tmpl w:val="3F46C67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0">
    <w:nsid w:val="40356866"/>
    <w:multiLevelType w:val="hybridMultilevel"/>
    <w:tmpl w:val="AE14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F29E9"/>
    <w:multiLevelType w:val="hybridMultilevel"/>
    <w:tmpl w:val="F21C9E1E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54B4098"/>
    <w:multiLevelType w:val="hybridMultilevel"/>
    <w:tmpl w:val="B1D0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05C3F"/>
    <w:multiLevelType w:val="hybridMultilevel"/>
    <w:tmpl w:val="5D2E1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76EAA"/>
    <w:multiLevelType w:val="hybridMultilevel"/>
    <w:tmpl w:val="CC2A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76BFF"/>
    <w:multiLevelType w:val="hybridMultilevel"/>
    <w:tmpl w:val="A4CCB628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6310FDD"/>
    <w:multiLevelType w:val="hybridMultilevel"/>
    <w:tmpl w:val="685A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C059E"/>
    <w:multiLevelType w:val="hybridMultilevel"/>
    <w:tmpl w:val="689A5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15"/>
  </w:num>
  <w:num w:numId="7">
    <w:abstractNumId w:val="10"/>
  </w:num>
  <w:num w:numId="8">
    <w:abstractNumId w:val="16"/>
  </w:num>
  <w:num w:numId="9">
    <w:abstractNumId w:val="4"/>
  </w:num>
  <w:num w:numId="10">
    <w:abstractNumId w:val="7"/>
  </w:num>
  <w:num w:numId="11">
    <w:abstractNumId w:val="12"/>
  </w:num>
  <w:num w:numId="12">
    <w:abstractNumId w:val="6"/>
  </w:num>
  <w:num w:numId="13">
    <w:abstractNumId w:val="17"/>
  </w:num>
  <w:num w:numId="14">
    <w:abstractNumId w:val="2"/>
  </w:num>
  <w:num w:numId="15">
    <w:abstractNumId w:val="14"/>
  </w:num>
  <w:num w:numId="16">
    <w:abstractNumId w:val="8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C3"/>
    <w:rsid w:val="00006510"/>
    <w:rsid w:val="00011C23"/>
    <w:rsid w:val="00012A59"/>
    <w:rsid w:val="000267CF"/>
    <w:rsid w:val="00031B6A"/>
    <w:rsid w:val="0003334E"/>
    <w:rsid w:val="00034A9D"/>
    <w:rsid w:val="00045346"/>
    <w:rsid w:val="000477FB"/>
    <w:rsid w:val="00056450"/>
    <w:rsid w:val="00066A3E"/>
    <w:rsid w:val="0008338B"/>
    <w:rsid w:val="00087821"/>
    <w:rsid w:val="000B6797"/>
    <w:rsid w:val="000D0765"/>
    <w:rsid w:val="000E49AC"/>
    <w:rsid w:val="00100066"/>
    <w:rsid w:val="0010464C"/>
    <w:rsid w:val="00112B76"/>
    <w:rsid w:val="00122C8B"/>
    <w:rsid w:val="00126736"/>
    <w:rsid w:val="00132551"/>
    <w:rsid w:val="0016305E"/>
    <w:rsid w:val="00164999"/>
    <w:rsid w:val="00176935"/>
    <w:rsid w:val="001804BF"/>
    <w:rsid w:val="001872E9"/>
    <w:rsid w:val="00195FA4"/>
    <w:rsid w:val="001A20C2"/>
    <w:rsid w:val="001D3A1D"/>
    <w:rsid w:val="001E61D6"/>
    <w:rsid w:val="00200155"/>
    <w:rsid w:val="0020360F"/>
    <w:rsid w:val="00214C92"/>
    <w:rsid w:val="00236468"/>
    <w:rsid w:val="0025764C"/>
    <w:rsid w:val="002741FF"/>
    <w:rsid w:val="00276B81"/>
    <w:rsid w:val="00283D5A"/>
    <w:rsid w:val="002B3E7A"/>
    <w:rsid w:val="002F55EF"/>
    <w:rsid w:val="003377B8"/>
    <w:rsid w:val="00351354"/>
    <w:rsid w:val="003527F6"/>
    <w:rsid w:val="003749F3"/>
    <w:rsid w:val="003805E1"/>
    <w:rsid w:val="00380C10"/>
    <w:rsid w:val="003C50AF"/>
    <w:rsid w:val="003E30E8"/>
    <w:rsid w:val="003F1B8B"/>
    <w:rsid w:val="0040498F"/>
    <w:rsid w:val="0049137D"/>
    <w:rsid w:val="004B2CFF"/>
    <w:rsid w:val="004B72F2"/>
    <w:rsid w:val="004C5248"/>
    <w:rsid w:val="004C6EEF"/>
    <w:rsid w:val="004F6D24"/>
    <w:rsid w:val="004F6D56"/>
    <w:rsid w:val="00536EEB"/>
    <w:rsid w:val="005472D2"/>
    <w:rsid w:val="00560180"/>
    <w:rsid w:val="0058126B"/>
    <w:rsid w:val="005976BE"/>
    <w:rsid w:val="005A7C05"/>
    <w:rsid w:val="005C2C11"/>
    <w:rsid w:val="005F4E1B"/>
    <w:rsid w:val="005F4E74"/>
    <w:rsid w:val="00614942"/>
    <w:rsid w:val="0061558B"/>
    <w:rsid w:val="00663BA2"/>
    <w:rsid w:val="006667DC"/>
    <w:rsid w:val="00670B52"/>
    <w:rsid w:val="00690297"/>
    <w:rsid w:val="00692D1D"/>
    <w:rsid w:val="006A468F"/>
    <w:rsid w:val="006A50A7"/>
    <w:rsid w:val="006B13E0"/>
    <w:rsid w:val="006B7FB9"/>
    <w:rsid w:val="006C087C"/>
    <w:rsid w:val="006D6828"/>
    <w:rsid w:val="006E6A39"/>
    <w:rsid w:val="006E7618"/>
    <w:rsid w:val="00722AE4"/>
    <w:rsid w:val="00733438"/>
    <w:rsid w:val="00737992"/>
    <w:rsid w:val="00764B66"/>
    <w:rsid w:val="00776926"/>
    <w:rsid w:val="00784997"/>
    <w:rsid w:val="007D3285"/>
    <w:rsid w:val="007D7A5B"/>
    <w:rsid w:val="007F40EC"/>
    <w:rsid w:val="008029A4"/>
    <w:rsid w:val="00803992"/>
    <w:rsid w:val="00804B14"/>
    <w:rsid w:val="00812042"/>
    <w:rsid w:val="00814FA3"/>
    <w:rsid w:val="00850D0F"/>
    <w:rsid w:val="008767BB"/>
    <w:rsid w:val="00877223"/>
    <w:rsid w:val="008865CC"/>
    <w:rsid w:val="008872C5"/>
    <w:rsid w:val="008A0AD9"/>
    <w:rsid w:val="008A6D94"/>
    <w:rsid w:val="008C08A7"/>
    <w:rsid w:val="008C20D4"/>
    <w:rsid w:val="008E058C"/>
    <w:rsid w:val="00900B7B"/>
    <w:rsid w:val="00922D9C"/>
    <w:rsid w:val="00925E91"/>
    <w:rsid w:val="00960D42"/>
    <w:rsid w:val="00963CFD"/>
    <w:rsid w:val="009671D4"/>
    <w:rsid w:val="009A0125"/>
    <w:rsid w:val="009A077D"/>
    <w:rsid w:val="009C3496"/>
    <w:rsid w:val="009D5807"/>
    <w:rsid w:val="009E2F82"/>
    <w:rsid w:val="009F0C78"/>
    <w:rsid w:val="00A22DD4"/>
    <w:rsid w:val="00A33251"/>
    <w:rsid w:val="00A5101F"/>
    <w:rsid w:val="00A544CD"/>
    <w:rsid w:val="00A640BA"/>
    <w:rsid w:val="00A70447"/>
    <w:rsid w:val="00A758FD"/>
    <w:rsid w:val="00A97A4D"/>
    <w:rsid w:val="00AB6AE8"/>
    <w:rsid w:val="00AD7DE2"/>
    <w:rsid w:val="00B0053D"/>
    <w:rsid w:val="00B0476D"/>
    <w:rsid w:val="00B25E68"/>
    <w:rsid w:val="00B63B5C"/>
    <w:rsid w:val="00B67271"/>
    <w:rsid w:val="00B673EA"/>
    <w:rsid w:val="00B90A95"/>
    <w:rsid w:val="00BA283B"/>
    <w:rsid w:val="00BA4A14"/>
    <w:rsid w:val="00BB5778"/>
    <w:rsid w:val="00BC2635"/>
    <w:rsid w:val="00BD3F22"/>
    <w:rsid w:val="00C01E80"/>
    <w:rsid w:val="00C10D2D"/>
    <w:rsid w:val="00C17EB0"/>
    <w:rsid w:val="00C275CE"/>
    <w:rsid w:val="00C378A9"/>
    <w:rsid w:val="00C44C8E"/>
    <w:rsid w:val="00C848B2"/>
    <w:rsid w:val="00C94A1E"/>
    <w:rsid w:val="00CC4B5A"/>
    <w:rsid w:val="00CD1595"/>
    <w:rsid w:val="00CE267E"/>
    <w:rsid w:val="00CF6EB0"/>
    <w:rsid w:val="00D0071F"/>
    <w:rsid w:val="00D02845"/>
    <w:rsid w:val="00D03C61"/>
    <w:rsid w:val="00D21A40"/>
    <w:rsid w:val="00D25966"/>
    <w:rsid w:val="00D460F3"/>
    <w:rsid w:val="00D46879"/>
    <w:rsid w:val="00D54C38"/>
    <w:rsid w:val="00D60A26"/>
    <w:rsid w:val="00D73494"/>
    <w:rsid w:val="00D7488F"/>
    <w:rsid w:val="00D94824"/>
    <w:rsid w:val="00DA2150"/>
    <w:rsid w:val="00DA68CA"/>
    <w:rsid w:val="00DB2EC2"/>
    <w:rsid w:val="00DB4CCD"/>
    <w:rsid w:val="00DB6286"/>
    <w:rsid w:val="00DC221C"/>
    <w:rsid w:val="00DC3AE6"/>
    <w:rsid w:val="00DD44E8"/>
    <w:rsid w:val="00DE29FE"/>
    <w:rsid w:val="00E15448"/>
    <w:rsid w:val="00E36254"/>
    <w:rsid w:val="00E578AA"/>
    <w:rsid w:val="00E7258F"/>
    <w:rsid w:val="00E72736"/>
    <w:rsid w:val="00E74830"/>
    <w:rsid w:val="00E76012"/>
    <w:rsid w:val="00E76E62"/>
    <w:rsid w:val="00E84EC2"/>
    <w:rsid w:val="00EA062D"/>
    <w:rsid w:val="00EC5E9F"/>
    <w:rsid w:val="00EE1817"/>
    <w:rsid w:val="00EF169A"/>
    <w:rsid w:val="00F05651"/>
    <w:rsid w:val="00F2088C"/>
    <w:rsid w:val="00F33708"/>
    <w:rsid w:val="00F52AFA"/>
    <w:rsid w:val="00F57FE8"/>
    <w:rsid w:val="00F8052F"/>
    <w:rsid w:val="00F92EB0"/>
    <w:rsid w:val="00F9744B"/>
    <w:rsid w:val="00F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7B22C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83B"/>
  </w:style>
  <w:style w:type="paragraph" w:styleId="FootnoteText">
    <w:name w:val="footnote text"/>
    <w:basedOn w:val="Normal"/>
    <w:link w:val="FootnoteTextChar"/>
    <w:rsid w:val="00380C10"/>
  </w:style>
  <w:style w:type="character" w:customStyle="1" w:styleId="FootnoteTextChar">
    <w:name w:val="Footnote Text Char"/>
    <w:link w:val="FootnoteText"/>
    <w:rsid w:val="00380C10"/>
    <w:rPr>
      <w:lang w:val="fr-CA"/>
    </w:rPr>
  </w:style>
  <w:style w:type="character" w:styleId="FootnoteReference">
    <w:name w:val="footnote reference"/>
    <w:rsid w:val="00380C10"/>
    <w:rPr>
      <w:vertAlign w:val="superscript"/>
    </w:rPr>
  </w:style>
  <w:style w:type="character" w:styleId="CommentReference">
    <w:name w:val="annotation reference"/>
    <w:rsid w:val="00A22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2DD4"/>
  </w:style>
  <w:style w:type="character" w:customStyle="1" w:styleId="CommentTextChar">
    <w:name w:val="Comment Text Char"/>
    <w:link w:val="CommentText"/>
    <w:rsid w:val="00A22DD4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rsid w:val="00A22DD4"/>
    <w:rPr>
      <w:b/>
      <w:bCs/>
    </w:rPr>
  </w:style>
  <w:style w:type="character" w:customStyle="1" w:styleId="CommentSubjectChar">
    <w:name w:val="Comment Subject Char"/>
    <w:link w:val="CommentSubject"/>
    <w:rsid w:val="00A22DD4"/>
    <w:rPr>
      <w:b/>
      <w:bCs/>
      <w:lang w:val="fr-CA"/>
    </w:rPr>
  </w:style>
  <w:style w:type="paragraph" w:styleId="BalloonText">
    <w:name w:val="Balloon Text"/>
    <w:basedOn w:val="Normal"/>
    <w:link w:val="BalloonTextChar"/>
    <w:rsid w:val="00A22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2DD4"/>
    <w:rPr>
      <w:rFonts w:ascii="Segoe UI" w:hAnsi="Segoe UI" w:cs="Segoe UI"/>
      <w:sz w:val="18"/>
      <w:szCs w:val="18"/>
      <w:lang w:val="fr-CA"/>
    </w:rPr>
  </w:style>
  <w:style w:type="paragraph" w:styleId="Revision">
    <w:name w:val="Revision"/>
    <w:hidden/>
    <w:uiPriority w:val="99"/>
    <w:semiHidden/>
    <w:rsid w:val="00692D1D"/>
    <w:rPr>
      <w:lang w:val="fr-CA"/>
    </w:rPr>
  </w:style>
  <w:style w:type="character" w:styleId="Hyperlink">
    <w:name w:val="Hyperlink"/>
    <w:basedOn w:val="DefaultParagraphFont"/>
    <w:rsid w:val="00BA4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D4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560180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83B"/>
  </w:style>
  <w:style w:type="paragraph" w:styleId="FootnoteText">
    <w:name w:val="footnote text"/>
    <w:basedOn w:val="Normal"/>
    <w:link w:val="FootnoteTextChar"/>
    <w:rsid w:val="00380C10"/>
  </w:style>
  <w:style w:type="character" w:customStyle="1" w:styleId="FootnoteTextChar">
    <w:name w:val="Footnote Text Char"/>
    <w:link w:val="FootnoteText"/>
    <w:rsid w:val="00380C10"/>
    <w:rPr>
      <w:lang w:val="fr-CA"/>
    </w:rPr>
  </w:style>
  <w:style w:type="character" w:styleId="FootnoteReference">
    <w:name w:val="footnote reference"/>
    <w:rsid w:val="00380C10"/>
    <w:rPr>
      <w:vertAlign w:val="superscript"/>
    </w:rPr>
  </w:style>
  <w:style w:type="character" w:styleId="CommentReference">
    <w:name w:val="annotation reference"/>
    <w:rsid w:val="00A22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2DD4"/>
  </w:style>
  <w:style w:type="character" w:customStyle="1" w:styleId="CommentTextChar">
    <w:name w:val="Comment Text Char"/>
    <w:link w:val="CommentText"/>
    <w:rsid w:val="00A22DD4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rsid w:val="00A22DD4"/>
    <w:rPr>
      <w:b/>
      <w:bCs/>
    </w:rPr>
  </w:style>
  <w:style w:type="character" w:customStyle="1" w:styleId="CommentSubjectChar">
    <w:name w:val="Comment Subject Char"/>
    <w:link w:val="CommentSubject"/>
    <w:rsid w:val="00A22DD4"/>
    <w:rPr>
      <w:b/>
      <w:bCs/>
      <w:lang w:val="fr-CA"/>
    </w:rPr>
  </w:style>
  <w:style w:type="paragraph" w:styleId="BalloonText">
    <w:name w:val="Balloon Text"/>
    <w:basedOn w:val="Normal"/>
    <w:link w:val="BalloonTextChar"/>
    <w:rsid w:val="00A22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2DD4"/>
    <w:rPr>
      <w:rFonts w:ascii="Segoe UI" w:hAnsi="Segoe UI" w:cs="Segoe UI"/>
      <w:sz w:val="18"/>
      <w:szCs w:val="18"/>
      <w:lang w:val="fr-CA"/>
    </w:rPr>
  </w:style>
  <w:style w:type="paragraph" w:styleId="Revision">
    <w:name w:val="Revision"/>
    <w:hidden/>
    <w:uiPriority w:val="99"/>
    <w:semiHidden/>
    <w:rsid w:val="00692D1D"/>
    <w:rPr>
      <w:lang w:val="fr-CA"/>
    </w:rPr>
  </w:style>
  <w:style w:type="character" w:styleId="Hyperlink">
    <w:name w:val="Hyperlink"/>
    <w:basedOn w:val="DefaultParagraphFont"/>
    <w:rsid w:val="00BA4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D4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560180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2F2F.965358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3ACB-3B5D-4AD5-AE31-65582F9B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dcterms:created xsi:type="dcterms:W3CDTF">2018-03-13T16:01:00Z</dcterms:created>
  <dcterms:modified xsi:type="dcterms:W3CDTF">2018-08-20T21:03:00Z</dcterms:modified>
</cp:coreProperties>
</file>